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E8DD5" w14:textId="02EF2E22" w:rsidR="00370849" w:rsidRDefault="005B72D4">
      <w:r>
        <w:rPr>
          <w:noProof/>
          <w:lang w:eastAsia="en-AU"/>
        </w:rPr>
        <mc:AlternateContent>
          <mc:Choice Requires="wps">
            <w:drawing>
              <wp:anchor distT="0" distB="0" distL="114300" distR="114300" simplePos="0" relativeHeight="251669504" behindDoc="0" locked="0" layoutInCell="1" allowOverlap="1" wp14:anchorId="5C63E20B" wp14:editId="20CF2AF0">
                <wp:simplePos x="0" y="0"/>
                <wp:positionH relativeFrom="column">
                  <wp:posOffset>4724400</wp:posOffset>
                </wp:positionH>
                <wp:positionV relativeFrom="paragraph">
                  <wp:posOffset>361950</wp:posOffset>
                </wp:positionV>
                <wp:extent cx="4861560" cy="5295900"/>
                <wp:effectExtent l="0" t="0" r="1524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5295900"/>
                        </a:xfrm>
                        <a:prstGeom prst="rect">
                          <a:avLst/>
                        </a:prstGeom>
                        <a:solidFill>
                          <a:srgbClr val="FFFFFF"/>
                        </a:solidFill>
                        <a:ln w="9525">
                          <a:solidFill>
                            <a:srgbClr val="000000"/>
                          </a:solidFill>
                          <a:miter lim="800000"/>
                          <a:headEnd/>
                          <a:tailEnd/>
                        </a:ln>
                      </wps:spPr>
                      <wps:txbx>
                        <w:txbxContent>
                          <w:p w14:paraId="4DD60118" w14:textId="06510B1B" w:rsidR="0047666A" w:rsidRDefault="0047666A">
                            <w:pPr>
                              <w:rPr>
                                <w:b/>
                                <w:u w:val="single"/>
                              </w:rPr>
                            </w:pPr>
                            <w:r w:rsidRPr="0047666A">
                              <w:rPr>
                                <w:b/>
                                <w:u w:val="single"/>
                              </w:rPr>
                              <w:t>Action Areas of the Ottawa Charter:</w:t>
                            </w:r>
                          </w:p>
                          <w:p w14:paraId="6E23C58D" w14:textId="74905626" w:rsidR="00614721" w:rsidRDefault="00614721">
                            <w:pPr>
                              <w:rPr>
                                <w:bCs/>
                              </w:rPr>
                            </w:pPr>
                            <w:r w:rsidRPr="00614721">
                              <w:rPr>
                                <w:bCs/>
                              </w:rPr>
                              <w:t>(</w:t>
                            </w:r>
                            <w:r w:rsidRPr="00614721">
                              <w:rPr>
                                <w:b/>
                              </w:rPr>
                              <w:t>B</w:t>
                            </w:r>
                            <w:r w:rsidRPr="00614721">
                              <w:rPr>
                                <w:bCs/>
                              </w:rPr>
                              <w:t xml:space="preserve">ad </w:t>
                            </w:r>
                            <w:r w:rsidRPr="00614721">
                              <w:rPr>
                                <w:b/>
                              </w:rPr>
                              <w:t>C</w:t>
                            </w:r>
                            <w:r w:rsidRPr="00614721">
                              <w:rPr>
                                <w:bCs/>
                              </w:rPr>
                              <w:t xml:space="preserve">ats </w:t>
                            </w:r>
                            <w:r w:rsidRPr="00614721">
                              <w:rPr>
                                <w:b/>
                              </w:rPr>
                              <w:t>S</w:t>
                            </w:r>
                            <w:r w:rsidRPr="00614721">
                              <w:rPr>
                                <w:bCs/>
                              </w:rPr>
                              <w:t xml:space="preserve">mell </w:t>
                            </w:r>
                            <w:r w:rsidRPr="00614721">
                              <w:rPr>
                                <w:b/>
                              </w:rPr>
                              <w:t>D</w:t>
                            </w:r>
                            <w:r w:rsidRPr="00614721">
                              <w:rPr>
                                <w:bCs/>
                              </w:rPr>
                              <w:t xml:space="preserve">ead </w:t>
                            </w:r>
                            <w:r w:rsidRPr="00614721">
                              <w:rPr>
                                <w:b/>
                              </w:rPr>
                              <w:t>R</w:t>
                            </w:r>
                            <w:r w:rsidRPr="00614721">
                              <w:rPr>
                                <w:bCs/>
                              </w:rPr>
                              <w:t>ats)</w:t>
                            </w:r>
                          </w:p>
                          <w:p w14:paraId="6045DBA0" w14:textId="1B263290" w:rsidR="00614721" w:rsidRDefault="003429D0" w:rsidP="003429D0">
                            <w:pPr>
                              <w:pStyle w:val="ListParagraph"/>
                              <w:numPr>
                                <w:ilvl w:val="0"/>
                                <w:numId w:val="2"/>
                              </w:numPr>
                              <w:rPr>
                                <w:bCs/>
                              </w:rPr>
                            </w:pPr>
                            <w:r>
                              <w:rPr>
                                <w:b/>
                              </w:rPr>
                              <w:t>Build healthy public policy</w:t>
                            </w:r>
                            <w:r w:rsidR="00C526FB">
                              <w:rPr>
                                <w:b/>
                              </w:rPr>
                              <w:t xml:space="preserve">: </w:t>
                            </w:r>
                            <w:r w:rsidR="00C526FB">
                              <w:rPr>
                                <w:bCs/>
                              </w:rPr>
                              <w:t>relates directly to the decisions</w:t>
                            </w:r>
                            <w:r w:rsidR="000926B5">
                              <w:rPr>
                                <w:bCs/>
                              </w:rPr>
                              <w:t xml:space="preserve"> made by the government and organisations regarding laws and policies that make it more</w:t>
                            </w:r>
                            <w:r w:rsidR="00F81462">
                              <w:rPr>
                                <w:bCs/>
                              </w:rPr>
                              <w:t xml:space="preserve"> difficult </w:t>
                            </w:r>
                            <w:r w:rsidR="001654D1">
                              <w:rPr>
                                <w:bCs/>
                              </w:rPr>
                              <w:t>for people to undertake unhealthy behaviours and seek to make healthier choices the easier choices.</w:t>
                            </w:r>
                          </w:p>
                          <w:p w14:paraId="236E717E" w14:textId="007DDB83" w:rsidR="001654D1" w:rsidRDefault="000345DE" w:rsidP="003429D0">
                            <w:pPr>
                              <w:pStyle w:val="ListParagraph"/>
                              <w:numPr>
                                <w:ilvl w:val="0"/>
                                <w:numId w:val="2"/>
                              </w:numPr>
                              <w:rPr>
                                <w:bCs/>
                              </w:rPr>
                            </w:pPr>
                            <w:r>
                              <w:rPr>
                                <w:b/>
                              </w:rPr>
                              <w:t xml:space="preserve">Create supportive environments: </w:t>
                            </w:r>
                            <w:r w:rsidR="00791C55">
                              <w:rPr>
                                <w:bCs/>
                              </w:rPr>
                              <w:t xml:space="preserve">recognises the impact that the broader determinants </w:t>
                            </w:r>
                            <w:r w:rsidR="00B66E8A">
                              <w:rPr>
                                <w:bCs/>
                              </w:rPr>
                              <w:t>have on health status and aims to promote a healthy physical and sociocultural environment for all members of the community</w:t>
                            </w:r>
                            <w:r w:rsidR="00BC0130">
                              <w:rPr>
                                <w:bCs/>
                              </w:rPr>
                              <w:t xml:space="preserve"> promotes health and wellbeing by being safe, stimulating, satisfying and enjoyable</w:t>
                            </w:r>
                            <w:r w:rsidR="007D48FF">
                              <w:rPr>
                                <w:bCs/>
                              </w:rPr>
                              <w:t>.</w:t>
                            </w:r>
                          </w:p>
                          <w:p w14:paraId="775AEB55" w14:textId="4E2C1730" w:rsidR="007D48FF" w:rsidRPr="005B72D4" w:rsidRDefault="007D48FF" w:rsidP="003429D0">
                            <w:pPr>
                              <w:pStyle w:val="ListParagraph"/>
                              <w:numPr>
                                <w:ilvl w:val="0"/>
                                <w:numId w:val="2"/>
                              </w:numPr>
                              <w:rPr>
                                <w:bCs/>
                              </w:rPr>
                            </w:pPr>
                            <w:r>
                              <w:rPr>
                                <w:b/>
                              </w:rPr>
                              <w:t>Strengthen community action:</w:t>
                            </w:r>
                            <w:r>
                              <w:t xml:space="preserve"> focuses on building links between individuals and the community, and centres around the community working together </w:t>
                            </w:r>
                            <w:r w:rsidR="003C3854">
                              <w:t xml:space="preserve">to achieve a common goal. Giving the community a sense of ownership of a health and wellbeing </w:t>
                            </w:r>
                            <w:r w:rsidR="005B72D4">
                              <w:t>strategy, increasing the likelihood of its effectiveness.</w:t>
                            </w:r>
                          </w:p>
                          <w:p w14:paraId="0C8264B5" w14:textId="658EE6BD" w:rsidR="005B72D4" w:rsidRPr="003118C7" w:rsidRDefault="005B72D4" w:rsidP="003429D0">
                            <w:pPr>
                              <w:pStyle w:val="ListParagraph"/>
                              <w:numPr>
                                <w:ilvl w:val="0"/>
                                <w:numId w:val="2"/>
                              </w:numPr>
                              <w:rPr>
                                <w:bCs/>
                              </w:rPr>
                            </w:pPr>
                            <w:r>
                              <w:rPr>
                                <w:b/>
                              </w:rPr>
                              <w:t>Develop personal skills:</w:t>
                            </w:r>
                            <w:r>
                              <w:t xml:space="preserve"> education is a key aspect and refers to gaining health-related </w:t>
                            </w:r>
                            <w:r w:rsidR="003118C7">
                              <w:t>knowledge and skills that allow people to make informed decisions that may indirectly affect health and wellbeing.</w:t>
                            </w:r>
                          </w:p>
                          <w:p w14:paraId="3636CCB5" w14:textId="13166932" w:rsidR="003118C7" w:rsidRPr="003429D0" w:rsidRDefault="00B73B0D" w:rsidP="003429D0">
                            <w:pPr>
                              <w:pStyle w:val="ListParagraph"/>
                              <w:numPr>
                                <w:ilvl w:val="0"/>
                                <w:numId w:val="2"/>
                              </w:numPr>
                              <w:rPr>
                                <w:bCs/>
                              </w:rPr>
                            </w:pPr>
                            <w:r>
                              <w:rPr>
                                <w:b/>
                              </w:rPr>
                              <w:t>Reorient health services:</w:t>
                            </w:r>
                            <w:r>
                              <w:t xml:space="preserve"> refers to changing the health system to promote health and wellbeing rather than just focusing on diagnosing and treating illness, as is the case with the biomedical approach. It means addressing all factors that influence health and wellbeing</w:t>
                            </w:r>
                            <w:r w:rsidR="00F73A11">
                              <w:t xml:space="preserve">, not just disease. This requires a shift towards health promotion, which includes doctors taking on the role of educator.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3E20B" id="_x0000_t202" coordsize="21600,21600" o:spt="202" path="m,l,21600r21600,l21600,xe">
                <v:stroke joinstyle="miter"/>
                <v:path gradientshapeok="t" o:connecttype="rect"/>
              </v:shapetype>
              <v:shape id="Text Box 2" o:spid="_x0000_s1026" type="#_x0000_t202" style="position:absolute;margin-left:372pt;margin-top:28.5pt;width:382.8pt;height:4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">
                <v:textbox>
                  <w:txbxContent>
                    <w:p w14:paraId="4DD60118" w14:textId="06510B1B" w:rsidR="0047666A" w:rsidRDefault="0047666A">
                      <w:pPr>
                        <w:rPr>
                          <w:b/>
                          <w:u w:val="single"/>
                        </w:rPr>
                      </w:pPr>
                      <w:r w:rsidRPr="0047666A">
                        <w:rPr>
                          <w:b/>
                          <w:u w:val="single"/>
                        </w:rPr>
                        <w:t>Action Areas of the Ottawa Charter:</w:t>
                      </w:r>
                    </w:p>
                    <w:p w14:paraId="6E23C58D" w14:textId="74905626" w:rsidR="00614721" w:rsidRDefault="00614721">
                      <w:pPr>
                        <w:rPr>
                          <w:bCs/>
                        </w:rPr>
                      </w:pPr>
                      <w:r w:rsidRPr="00614721">
                        <w:rPr>
                          <w:bCs/>
                        </w:rPr>
                        <w:t>(</w:t>
                      </w:r>
                      <w:r w:rsidRPr="00614721">
                        <w:rPr>
                          <w:b/>
                        </w:rPr>
                        <w:t>B</w:t>
                      </w:r>
                      <w:r w:rsidRPr="00614721">
                        <w:rPr>
                          <w:bCs/>
                        </w:rPr>
                        <w:t xml:space="preserve">ad </w:t>
                      </w:r>
                      <w:r w:rsidRPr="00614721">
                        <w:rPr>
                          <w:b/>
                        </w:rPr>
                        <w:t>C</w:t>
                      </w:r>
                      <w:r w:rsidRPr="00614721">
                        <w:rPr>
                          <w:bCs/>
                        </w:rPr>
                        <w:t xml:space="preserve">ats </w:t>
                      </w:r>
                      <w:r w:rsidRPr="00614721">
                        <w:rPr>
                          <w:b/>
                        </w:rPr>
                        <w:t>S</w:t>
                      </w:r>
                      <w:r w:rsidRPr="00614721">
                        <w:rPr>
                          <w:bCs/>
                        </w:rPr>
                        <w:t xml:space="preserve">mell </w:t>
                      </w:r>
                      <w:r w:rsidRPr="00614721">
                        <w:rPr>
                          <w:b/>
                        </w:rPr>
                        <w:t>D</w:t>
                      </w:r>
                      <w:r w:rsidRPr="00614721">
                        <w:rPr>
                          <w:bCs/>
                        </w:rPr>
                        <w:t xml:space="preserve">ead </w:t>
                      </w:r>
                      <w:r w:rsidRPr="00614721">
                        <w:rPr>
                          <w:b/>
                        </w:rPr>
                        <w:t>R</w:t>
                      </w:r>
                      <w:r w:rsidRPr="00614721">
                        <w:rPr>
                          <w:bCs/>
                        </w:rPr>
                        <w:t>ats)</w:t>
                      </w:r>
                    </w:p>
                    <w:p w14:paraId="6045DBA0" w14:textId="1B263290" w:rsidR="00614721" w:rsidRDefault="003429D0" w:rsidP="003429D0">
                      <w:pPr>
                        <w:pStyle w:val="ListParagraph"/>
                        <w:numPr>
                          <w:ilvl w:val="0"/>
                          <w:numId w:val="2"/>
                        </w:numPr>
                        <w:rPr>
                          <w:bCs/>
                        </w:rPr>
                      </w:pPr>
                      <w:r>
                        <w:rPr>
                          <w:b/>
                        </w:rPr>
                        <w:t>Build healthy public policy</w:t>
                      </w:r>
                      <w:r w:rsidR="00C526FB">
                        <w:rPr>
                          <w:b/>
                        </w:rPr>
                        <w:t xml:space="preserve">: </w:t>
                      </w:r>
                      <w:r w:rsidR="00C526FB">
                        <w:rPr>
                          <w:bCs/>
                        </w:rPr>
                        <w:t>relates directly to the decisions</w:t>
                      </w:r>
                      <w:r w:rsidR="000926B5">
                        <w:rPr>
                          <w:bCs/>
                        </w:rPr>
                        <w:t xml:space="preserve"> made by the government and organisations regarding laws and policies that make it more</w:t>
                      </w:r>
                      <w:r w:rsidR="00F81462">
                        <w:rPr>
                          <w:bCs/>
                        </w:rPr>
                        <w:t xml:space="preserve"> difficult </w:t>
                      </w:r>
                      <w:r w:rsidR="001654D1">
                        <w:rPr>
                          <w:bCs/>
                        </w:rPr>
                        <w:t>for people to undertake unhealthy behaviours and seek to make healthier choices the easier choices.</w:t>
                      </w:r>
                    </w:p>
                    <w:p w14:paraId="236E717E" w14:textId="007DDB83" w:rsidR="001654D1" w:rsidRDefault="000345DE" w:rsidP="003429D0">
                      <w:pPr>
                        <w:pStyle w:val="ListParagraph"/>
                        <w:numPr>
                          <w:ilvl w:val="0"/>
                          <w:numId w:val="2"/>
                        </w:numPr>
                        <w:rPr>
                          <w:bCs/>
                        </w:rPr>
                      </w:pPr>
                      <w:r>
                        <w:rPr>
                          <w:b/>
                        </w:rPr>
                        <w:t xml:space="preserve">Create supportive environments: </w:t>
                      </w:r>
                      <w:r w:rsidR="00791C55">
                        <w:rPr>
                          <w:bCs/>
                        </w:rPr>
                        <w:t xml:space="preserve">recognises the impact that the broader determinants </w:t>
                      </w:r>
                      <w:r w:rsidR="00B66E8A">
                        <w:rPr>
                          <w:bCs/>
                        </w:rPr>
                        <w:t>have on health status and aims to promote a healthy physical and sociocultural environment for all members of the community</w:t>
                      </w:r>
                      <w:r w:rsidR="00BC0130">
                        <w:rPr>
                          <w:bCs/>
                        </w:rPr>
                        <w:t xml:space="preserve"> promotes health and wellbeing by being safe, stimulating, satisfying and enjoyable</w:t>
                      </w:r>
                      <w:r w:rsidR="007D48FF">
                        <w:rPr>
                          <w:bCs/>
                        </w:rPr>
                        <w:t>.</w:t>
                      </w:r>
                    </w:p>
                    <w:p w14:paraId="775AEB55" w14:textId="4E2C1730" w:rsidR="007D48FF" w:rsidRPr="005B72D4" w:rsidRDefault="007D48FF" w:rsidP="003429D0">
                      <w:pPr>
                        <w:pStyle w:val="ListParagraph"/>
                        <w:numPr>
                          <w:ilvl w:val="0"/>
                          <w:numId w:val="2"/>
                        </w:numPr>
                        <w:rPr>
                          <w:bCs/>
                        </w:rPr>
                      </w:pPr>
                      <w:r>
                        <w:rPr>
                          <w:b/>
                        </w:rPr>
                        <w:t>Strengthen community action:</w:t>
                      </w:r>
                      <w:r>
                        <w:t xml:space="preserve"> focuses on building links between individuals and the community, and centres around the community working together </w:t>
                      </w:r>
                      <w:r w:rsidR="003C3854">
                        <w:t xml:space="preserve">to achieve a common goal. Giving the community a sense of ownership of a health and wellbeing </w:t>
                      </w:r>
                      <w:r w:rsidR="005B72D4">
                        <w:t>strategy, increasing the likelihood of its effectiveness.</w:t>
                      </w:r>
                    </w:p>
                    <w:p w14:paraId="0C8264B5" w14:textId="658EE6BD" w:rsidR="005B72D4" w:rsidRPr="003118C7" w:rsidRDefault="005B72D4" w:rsidP="003429D0">
                      <w:pPr>
                        <w:pStyle w:val="ListParagraph"/>
                        <w:numPr>
                          <w:ilvl w:val="0"/>
                          <w:numId w:val="2"/>
                        </w:numPr>
                        <w:rPr>
                          <w:bCs/>
                        </w:rPr>
                      </w:pPr>
                      <w:r>
                        <w:rPr>
                          <w:b/>
                        </w:rPr>
                        <w:t>Develop personal skills:</w:t>
                      </w:r>
                      <w:r>
                        <w:t xml:space="preserve"> education is a key aspect and refers to gaining health-related </w:t>
                      </w:r>
                      <w:r w:rsidR="003118C7">
                        <w:t>knowledge and skills that allow people to make informed decisions that may indirectly affect health and wellbeing.</w:t>
                      </w:r>
                    </w:p>
                    <w:p w14:paraId="3636CCB5" w14:textId="13166932" w:rsidR="003118C7" w:rsidRPr="003429D0" w:rsidRDefault="00B73B0D" w:rsidP="003429D0">
                      <w:pPr>
                        <w:pStyle w:val="ListParagraph"/>
                        <w:numPr>
                          <w:ilvl w:val="0"/>
                          <w:numId w:val="2"/>
                        </w:numPr>
                        <w:rPr>
                          <w:bCs/>
                        </w:rPr>
                      </w:pPr>
                      <w:r>
                        <w:rPr>
                          <w:b/>
                        </w:rPr>
                        <w:t>Reorient health services:</w:t>
                      </w:r>
                      <w:r>
                        <w:t xml:space="preserve"> refers to changing the health system to promote health and wellbeing rather than just focusing on diagnosing and treating illness, as is the case with the biomedical approach. It means addressing all factors that influence health and wellbeing</w:t>
                      </w:r>
                      <w:r w:rsidR="00F73A11">
                        <w:t xml:space="preserve">, not just disease. This requires a shift towards health promotion, which includes doctors taking on the role of educator. </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4E54DBBB" wp14:editId="7455F60C">
                <wp:simplePos x="0" y="0"/>
                <wp:positionH relativeFrom="column">
                  <wp:posOffset>781050</wp:posOffset>
                </wp:positionH>
                <wp:positionV relativeFrom="paragraph">
                  <wp:posOffset>525780</wp:posOffset>
                </wp:positionV>
                <wp:extent cx="2933700" cy="1581150"/>
                <wp:effectExtent l="0" t="0" r="19050" b="19050"/>
                <wp:wrapNone/>
                <wp:docPr id="1" name="Explosion 2 1"/>
                <wp:cNvGraphicFramePr/>
                <a:graphic xmlns:a="http://schemas.openxmlformats.org/drawingml/2006/main">
                  <a:graphicData uri="http://schemas.microsoft.com/office/word/2010/wordprocessingShape">
                    <wps:wsp>
                      <wps:cNvSpPr/>
                      <wps:spPr>
                        <a:xfrm>
                          <a:off x="0" y="0"/>
                          <a:ext cx="2933700" cy="1581150"/>
                        </a:xfrm>
                        <a:prstGeom prst="irregularSeal2">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7DB40"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 o:spid="_x0000_s1026" type="#_x0000_t72" style="position:absolute;margin-left:61.5pt;margin-top:41.4pt;width:231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" fillcolor="#f2f2f2 [3052]" strokecolor="#243f60 [1604]" strokeweight="2pt"/>
            </w:pict>
          </mc:Fallback>
        </mc:AlternateContent>
      </w:r>
      <w:r>
        <w:rPr>
          <w:noProof/>
          <w:lang w:eastAsia="en-AU"/>
        </w:rPr>
        <mc:AlternateContent>
          <mc:Choice Requires="wps">
            <w:drawing>
              <wp:anchor distT="0" distB="0" distL="114300" distR="114300" simplePos="0" relativeHeight="251661312" behindDoc="0" locked="0" layoutInCell="1" allowOverlap="1" wp14:anchorId="3005EF9F" wp14:editId="6E20F651">
                <wp:simplePos x="0" y="0"/>
                <wp:positionH relativeFrom="column">
                  <wp:posOffset>1400175</wp:posOffset>
                </wp:positionH>
                <wp:positionV relativeFrom="paragraph">
                  <wp:posOffset>933450</wp:posOffset>
                </wp:positionV>
                <wp:extent cx="1485900" cy="7715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485900" cy="771525"/>
                        </a:xfrm>
                        <a:prstGeom prst="rect">
                          <a:avLst/>
                        </a:prstGeom>
                        <a:noFill/>
                        <a:ln>
                          <a:noFill/>
                        </a:ln>
                        <a:effectLst/>
                      </wps:spPr>
                      <wps:txbx>
                        <w:txbxContent>
                          <w:p w14:paraId="389CF2D5" w14:textId="77777777" w:rsidR="00370849" w:rsidRPr="00633928" w:rsidRDefault="00370849" w:rsidP="00633928">
                            <w:pPr>
                              <w:jc w:val="center"/>
                              <w:rPr>
                                <w:b/>
                                <w:noProof/>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370849">
                              <w:rPr>
                                <w:b/>
                                <w:noProof/>
                                <w:spacing w:val="60"/>
                                <w:sz w:val="40"/>
                                <w:szCs w:val="4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Ottawa Charter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5EF9F" id="_x0000_s1027" type="#_x0000_t202" style="position:absolute;margin-left:110.25pt;margin-top:73.5pt;width:117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" filled="f" stroked="f">
                <v:textbox>
                  <w:txbxContent>
                    <w:p w14:paraId="389CF2D5" w14:textId="77777777" w:rsidR="00370849" w:rsidRPr="00633928" w:rsidRDefault="00370849" w:rsidP="00633928">
                      <w:pPr>
                        <w:jc w:val="center"/>
                        <w:rPr>
                          <w:b/>
                          <w:noProof/>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370849">
                        <w:rPr>
                          <w:b/>
                          <w:noProof/>
                          <w:spacing w:val="60"/>
                          <w:sz w:val="40"/>
                          <w:szCs w:val="4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Ottawa Charter </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7F62F7F3" wp14:editId="37BD497E">
                <wp:simplePos x="0" y="0"/>
                <wp:positionH relativeFrom="column">
                  <wp:posOffset>1123950</wp:posOffset>
                </wp:positionH>
                <wp:positionV relativeFrom="paragraph">
                  <wp:posOffset>1933575</wp:posOffset>
                </wp:positionV>
                <wp:extent cx="3533775" cy="36195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619500"/>
                        </a:xfrm>
                        <a:prstGeom prst="rect">
                          <a:avLst/>
                        </a:prstGeom>
                        <a:solidFill>
                          <a:srgbClr val="FFFFFF"/>
                        </a:solidFill>
                        <a:ln w="9525">
                          <a:solidFill>
                            <a:srgbClr val="000000"/>
                          </a:solidFill>
                          <a:miter lim="800000"/>
                          <a:headEnd/>
                          <a:tailEnd/>
                        </a:ln>
                      </wps:spPr>
                      <wps:txbx>
                        <w:txbxContent>
                          <w:p w14:paraId="3CC2A780" w14:textId="097C4640" w:rsidR="0047666A" w:rsidRDefault="0047666A">
                            <w:pPr>
                              <w:rPr>
                                <w:b/>
                                <w:u w:val="single"/>
                              </w:rPr>
                            </w:pPr>
                            <w:r w:rsidRPr="0047666A">
                              <w:rPr>
                                <w:b/>
                                <w:u w:val="single"/>
                              </w:rPr>
                              <w:t>Strategies for Health Promotion:</w:t>
                            </w:r>
                          </w:p>
                          <w:p w14:paraId="7F9FB1D4" w14:textId="37BC6FAA" w:rsidR="004F3669" w:rsidRPr="004F3669" w:rsidRDefault="004F3669" w:rsidP="004F3669">
                            <w:pPr>
                              <w:pStyle w:val="ListParagraph"/>
                              <w:numPr>
                                <w:ilvl w:val="0"/>
                                <w:numId w:val="1"/>
                              </w:numPr>
                              <w:rPr>
                                <w:b/>
                                <w:u w:val="single"/>
                              </w:rPr>
                            </w:pPr>
                            <w:r>
                              <w:rPr>
                                <w:b/>
                              </w:rPr>
                              <w:t xml:space="preserve">Advocate: </w:t>
                            </w:r>
                            <w:r>
                              <w:rPr>
                                <w:bCs/>
                              </w:rPr>
                              <w:t>refers to actions designed to gain support from governments and societies that are necessary to improve health and wellbeing for everyone.</w:t>
                            </w:r>
                          </w:p>
                          <w:p w14:paraId="5314A998" w14:textId="401AB7CE" w:rsidR="004F3669" w:rsidRPr="004F3669" w:rsidRDefault="004F3669" w:rsidP="004F3669">
                            <w:pPr>
                              <w:pStyle w:val="ListParagraph"/>
                              <w:numPr>
                                <w:ilvl w:val="0"/>
                                <w:numId w:val="1"/>
                              </w:numPr>
                              <w:rPr>
                                <w:b/>
                                <w:u w:val="single"/>
                              </w:rPr>
                            </w:pPr>
                            <w:r>
                              <w:rPr>
                                <w:b/>
                              </w:rPr>
                              <w:t xml:space="preserve">Enable: </w:t>
                            </w:r>
                            <w:r>
                              <w:rPr>
                                <w:bCs/>
                              </w:rPr>
                              <w:t>health promotion aims to reduce differences in health status between population groups by ensuring equal opportunities and resources are available to enable all people to achieve optimal health and wellbeing.</w:t>
                            </w:r>
                          </w:p>
                          <w:p w14:paraId="5C0A3CC7" w14:textId="726947B8" w:rsidR="004F3669" w:rsidRPr="004F3669" w:rsidRDefault="004F3669" w:rsidP="004F3669">
                            <w:pPr>
                              <w:pStyle w:val="ListParagraph"/>
                              <w:numPr>
                                <w:ilvl w:val="0"/>
                                <w:numId w:val="1"/>
                              </w:numPr>
                              <w:rPr>
                                <w:b/>
                                <w:u w:val="single"/>
                              </w:rPr>
                            </w:pPr>
                            <w:r>
                              <w:rPr>
                                <w:b/>
                              </w:rPr>
                              <w:t>Mediate:</w:t>
                            </w:r>
                            <w:r>
                              <w:t xml:space="preserve"> Changes include changes to funding, legislation and policies, and to the physical and sociocultural environment. Such changes will cause conflict between people, groups, business and political parties. Relates to helping groups resolve conflict and produce outcomes that promote health and wellbeing.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2F7F3" id="_x0000_s1028" type="#_x0000_t202" style="position:absolute;margin-left:88.5pt;margin-top:152.25pt;width:278.2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">
                <v:textbox>
                  <w:txbxContent>
                    <w:p w14:paraId="3CC2A780" w14:textId="097C4640" w:rsidR="0047666A" w:rsidRDefault="0047666A">
                      <w:pPr>
                        <w:rPr>
                          <w:b/>
                          <w:u w:val="single"/>
                        </w:rPr>
                      </w:pPr>
                      <w:r w:rsidRPr="0047666A">
                        <w:rPr>
                          <w:b/>
                          <w:u w:val="single"/>
                        </w:rPr>
                        <w:t>Strategies for Health Promotion:</w:t>
                      </w:r>
                    </w:p>
                    <w:p w14:paraId="7F9FB1D4" w14:textId="37BC6FAA" w:rsidR="004F3669" w:rsidRPr="004F3669" w:rsidRDefault="004F3669" w:rsidP="004F3669">
                      <w:pPr>
                        <w:pStyle w:val="ListParagraph"/>
                        <w:numPr>
                          <w:ilvl w:val="0"/>
                          <w:numId w:val="1"/>
                        </w:numPr>
                        <w:rPr>
                          <w:b/>
                          <w:u w:val="single"/>
                        </w:rPr>
                      </w:pPr>
                      <w:r>
                        <w:rPr>
                          <w:b/>
                        </w:rPr>
                        <w:t xml:space="preserve">Advocate: </w:t>
                      </w:r>
                      <w:r>
                        <w:rPr>
                          <w:bCs/>
                        </w:rPr>
                        <w:t>refers to actions designed to gain support from governments and societies that are necessary to improve health and wellbeing for everyone.</w:t>
                      </w:r>
                    </w:p>
                    <w:p w14:paraId="5314A998" w14:textId="401AB7CE" w:rsidR="004F3669" w:rsidRPr="004F3669" w:rsidRDefault="004F3669" w:rsidP="004F3669">
                      <w:pPr>
                        <w:pStyle w:val="ListParagraph"/>
                        <w:numPr>
                          <w:ilvl w:val="0"/>
                          <w:numId w:val="1"/>
                        </w:numPr>
                        <w:rPr>
                          <w:b/>
                          <w:u w:val="single"/>
                        </w:rPr>
                      </w:pPr>
                      <w:r>
                        <w:rPr>
                          <w:b/>
                        </w:rPr>
                        <w:t xml:space="preserve">Enable: </w:t>
                      </w:r>
                      <w:r>
                        <w:rPr>
                          <w:bCs/>
                        </w:rPr>
                        <w:t>health promotion aims to reduce differences in health status between population groups by ensuring equal opportunities and resources are available to enable all people to achieve optimal health and wellbeing.</w:t>
                      </w:r>
                    </w:p>
                    <w:p w14:paraId="5C0A3CC7" w14:textId="726947B8" w:rsidR="004F3669" w:rsidRPr="004F3669" w:rsidRDefault="004F3669" w:rsidP="004F3669">
                      <w:pPr>
                        <w:pStyle w:val="ListParagraph"/>
                        <w:numPr>
                          <w:ilvl w:val="0"/>
                          <w:numId w:val="1"/>
                        </w:numPr>
                        <w:rPr>
                          <w:b/>
                          <w:u w:val="single"/>
                        </w:rPr>
                      </w:pPr>
                      <w:r>
                        <w:rPr>
                          <w:b/>
                        </w:rPr>
                        <w:t>Mediate:</w:t>
                      </w:r>
                      <w:r>
                        <w:t xml:space="preserve"> Changes include changes to funding, legislation and policies, and to the physical and sociocultural environment. Such changes will cause conflict between people, groups, business and political parties. Relates to helping groups resolve conflict and produce outcomes that promote health and wellbeing.</w:t>
                      </w: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177D5BCF" wp14:editId="369D2D14">
                <wp:simplePos x="0" y="0"/>
                <wp:positionH relativeFrom="column">
                  <wp:posOffset>-762000</wp:posOffset>
                </wp:positionH>
                <wp:positionV relativeFrom="paragraph">
                  <wp:posOffset>876300</wp:posOffset>
                </wp:positionV>
                <wp:extent cx="1800225" cy="46672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667250"/>
                        </a:xfrm>
                        <a:prstGeom prst="rect">
                          <a:avLst/>
                        </a:prstGeom>
                        <a:solidFill>
                          <a:srgbClr val="FFFFFF"/>
                        </a:solidFill>
                        <a:ln w="9525">
                          <a:solidFill>
                            <a:srgbClr val="000000"/>
                          </a:solidFill>
                          <a:miter lim="800000"/>
                          <a:headEnd/>
                          <a:tailEnd/>
                        </a:ln>
                      </wps:spPr>
                      <wps:txbx>
                        <w:txbxContent>
                          <w:p w14:paraId="7DF99A58" w14:textId="05078BB0" w:rsidR="0047666A" w:rsidRDefault="0047666A">
                            <w:pPr>
                              <w:rPr>
                                <w:b/>
                                <w:u w:val="single"/>
                              </w:rPr>
                            </w:pPr>
                            <w:r w:rsidRPr="0047666A">
                              <w:rPr>
                                <w:b/>
                                <w:u w:val="single"/>
                              </w:rPr>
                              <w:t>Pre-requisites for Health:</w:t>
                            </w:r>
                          </w:p>
                          <w:p w14:paraId="58BF288B" w14:textId="4D594E40" w:rsidR="006838A7" w:rsidRPr="006838A7" w:rsidRDefault="006838A7">
                            <w:pPr>
                              <w:rPr>
                                <w:bCs/>
                              </w:rPr>
                            </w:pPr>
                            <w:r w:rsidRPr="006838A7">
                              <w:rPr>
                                <w:bCs/>
                              </w:rPr>
                              <w:t>Peace</w:t>
                            </w:r>
                          </w:p>
                          <w:p w14:paraId="203ACB37" w14:textId="6B3B22C4" w:rsidR="006838A7" w:rsidRPr="006838A7" w:rsidRDefault="006838A7">
                            <w:pPr>
                              <w:rPr>
                                <w:bCs/>
                              </w:rPr>
                            </w:pPr>
                            <w:r w:rsidRPr="006838A7">
                              <w:rPr>
                                <w:bCs/>
                              </w:rPr>
                              <w:t>Shelter</w:t>
                            </w:r>
                          </w:p>
                          <w:p w14:paraId="56B1B2BC" w14:textId="4EFE3A22" w:rsidR="006838A7" w:rsidRPr="006838A7" w:rsidRDefault="006838A7">
                            <w:pPr>
                              <w:rPr>
                                <w:bCs/>
                              </w:rPr>
                            </w:pPr>
                            <w:r w:rsidRPr="006838A7">
                              <w:rPr>
                                <w:bCs/>
                              </w:rPr>
                              <w:t>Food</w:t>
                            </w:r>
                          </w:p>
                          <w:p w14:paraId="0A08FBE1" w14:textId="62A775A6" w:rsidR="006838A7" w:rsidRPr="006838A7" w:rsidRDefault="006838A7">
                            <w:pPr>
                              <w:rPr>
                                <w:bCs/>
                              </w:rPr>
                            </w:pPr>
                            <w:r w:rsidRPr="006838A7">
                              <w:rPr>
                                <w:bCs/>
                              </w:rPr>
                              <w:t>Social justice</w:t>
                            </w:r>
                          </w:p>
                          <w:p w14:paraId="3A72B0FD" w14:textId="301C8C1D" w:rsidR="006838A7" w:rsidRPr="006838A7" w:rsidRDefault="006838A7">
                            <w:pPr>
                              <w:rPr>
                                <w:bCs/>
                              </w:rPr>
                            </w:pPr>
                            <w:r w:rsidRPr="006838A7">
                              <w:rPr>
                                <w:bCs/>
                              </w:rPr>
                              <w:t>Equity</w:t>
                            </w:r>
                          </w:p>
                          <w:p w14:paraId="5237F114" w14:textId="38B5BC26" w:rsidR="006838A7" w:rsidRPr="006838A7" w:rsidRDefault="006838A7">
                            <w:pPr>
                              <w:rPr>
                                <w:bCs/>
                              </w:rPr>
                            </w:pPr>
                            <w:r w:rsidRPr="006838A7">
                              <w:rPr>
                                <w:bCs/>
                              </w:rPr>
                              <w:t>Stable ecosystem</w:t>
                            </w:r>
                          </w:p>
                          <w:p w14:paraId="2EFFCFB4" w14:textId="3EF981DD" w:rsidR="006838A7" w:rsidRPr="006838A7" w:rsidRDefault="006838A7">
                            <w:pPr>
                              <w:rPr>
                                <w:bCs/>
                              </w:rPr>
                            </w:pPr>
                            <w:r w:rsidRPr="006838A7">
                              <w:rPr>
                                <w:bCs/>
                              </w:rPr>
                              <w:t>Education</w:t>
                            </w:r>
                          </w:p>
                          <w:p w14:paraId="04F7C1A6" w14:textId="311DE91A" w:rsidR="006838A7" w:rsidRPr="006838A7" w:rsidRDefault="006838A7">
                            <w:pPr>
                              <w:rPr>
                                <w:bCs/>
                              </w:rPr>
                            </w:pPr>
                            <w:r w:rsidRPr="006838A7">
                              <w:rPr>
                                <w:bCs/>
                              </w:rPr>
                              <w:t>Income</w:t>
                            </w:r>
                          </w:p>
                          <w:p w14:paraId="638449FC" w14:textId="78A92C03" w:rsidR="006838A7" w:rsidRPr="006838A7" w:rsidRDefault="006838A7">
                            <w:pPr>
                              <w:rPr>
                                <w:bCs/>
                              </w:rPr>
                            </w:pPr>
                            <w:r w:rsidRPr="006838A7">
                              <w:rPr>
                                <w:bCs/>
                              </w:rPr>
                              <w:t>Sustainable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D5BCF" id="_x0000_s1029" type="#_x0000_t202" style="position:absolute;margin-left:-60pt;margin-top:69pt;width:141.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">
                <v:textbox>
                  <w:txbxContent>
                    <w:p w14:paraId="7DF99A58" w14:textId="05078BB0" w:rsidR="0047666A" w:rsidRDefault="0047666A">
                      <w:pPr>
                        <w:rPr>
                          <w:b/>
                          <w:u w:val="single"/>
                        </w:rPr>
                      </w:pPr>
                      <w:r w:rsidRPr="0047666A">
                        <w:rPr>
                          <w:b/>
                          <w:u w:val="single"/>
                        </w:rPr>
                        <w:t>Pre-requisites for Health:</w:t>
                      </w:r>
                    </w:p>
                    <w:p w14:paraId="58BF288B" w14:textId="4D594E40" w:rsidR="006838A7" w:rsidRPr="006838A7" w:rsidRDefault="006838A7">
                      <w:pPr>
                        <w:rPr>
                          <w:bCs/>
                        </w:rPr>
                      </w:pPr>
                      <w:r w:rsidRPr="006838A7">
                        <w:rPr>
                          <w:bCs/>
                        </w:rPr>
                        <w:t>Peace</w:t>
                      </w:r>
                    </w:p>
                    <w:p w14:paraId="203ACB37" w14:textId="6B3B22C4" w:rsidR="006838A7" w:rsidRPr="006838A7" w:rsidRDefault="006838A7">
                      <w:pPr>
                        <w:rPr>
                          <w:bCs/>
                        </w:rPr>
                      </w:pPr>
                      <w:r w:rsidRPr="006838A7">
                        <w:rPr>
                          <w:bCs/>
                        </w:rPr>
                        <w:t>Shelter</w:t>
                      </w:r>
                    </w:p>
                    <w:p w14:paraId="56B1B2BC" w14:textId="4EFE3A22" w:rsidR="006838A7" w:rsidRPr="006838A7" w:rsidRDefault="006838A7">
                      <w:pPr>
                        <w:rPr>
                          <w:bCs/>
                        </w:rPr>
                      </w:pPr>
                      <w:r w:rsidRPr="006838A7">
                        <w:rPr>
                          <w:bCs/>
                        </w:rPr>
                        <w:t>Food</w:t>
                      </w:r>
                    </w:p>
                    <w:p w14:paraId="0A08FBE1" w14:textId="62A775A6" w:rsidR="006838A7" w:rsidRPr="006838A7" w:rsidRDefault="006838A7">
                      <w:pPr>
                        <w:rPr>
                          <w:bCs/>
                        </w:rPr>
                      </w:pPr>
                      <w:r w:rsidRPr="006838A7">
                        <w:rPr>
                          <w:bCs/>
                        </w:rPr>
                        <w:t>Social justice</w:t>
                      </w:r>
                    </w:p>
                    <w:p w14:paraId="3A72B0FD" w14:textId="301C8C1D" w:rsidR="006838A7" w:rsidRPr="006838A7" w:rsidRDefault="006838A7">
                      <w:pPr>
                        <w:rPr>
                          <w:bCs/>
                        </w:rPr>
                      </w:pPr>
                      <w:r w:rsidRPr="006838A7">
                        <w:rPr>
                          <w:bCs/>
                        </w:rPr>
                        <w:t>Equity</w:t>
                      </w:r>
                    </w:p>
                    <w:p w14:paraId="5237F114" w14:textId="38B5BC26" w:rsidR="006838A7" w:rsidRPr="006838A7" w:rsidRDefault="006838A7">
                      <w:pPr>
                        <w:rPr>
                          <w:bCs/>
                        </w:rPr>
                      </w:pPr>
                      <w:r w:rsidRPr="006838A7">
                        <w:rPr>
                          <w:bCs/>
                        </w:rPr>
                        <w:t>Stable ecosystem</w:t>
                      </w:r>
                    </w:p>
                    <w:p w14:paraId="2EFFCFB4" w14:textId="3EF981DD" w:rsidR="006838A7" w:rsidRPr="006838A7" w:rsidRDefault="006838A7">
                      <w:pPr>
                        <w:rPr>
                          <w:bCs/>
                        </w:rPr>
                      </w:pPr>
                      <w:r w:rsidRPr="006838A7">
                        <w:rPr>
                          <w:bCs/>
                        </w:rPr>
                        <w:t>Education</w:t>
                      </w:r>
                    </w:p>
                    <w:p w14:paraId="04F7C1A6" w14:textId="311DE91A" w:rsidR="006838A7" w:rsidRPr="006838A7" w:rsidRDefault="006838A7">
                      <w:pPr>
                        <w:rPr>
                          <w:bCs/>
                        </w:rPr>
                      </w:pPr>
                      <w:r w:rsidRPr="006838A7">
                        <w:rPr>
                          <w:bCs/>
                        </w:rPr>
                        <w:t>Income</w:t>
                      </w:r>
                    </w:p>
                    <w:p w14:paraId="638449FC" w14:textId="78A92C03" w:rsidR="006838A7" w:rsidRPr="006838A7" w:rsidRDefault="006838A7">
                      <w:pPr>
                        <w:rPr>
                          <w:bCs/>
                        </w:rPr>
                      </w:pPr>
                      <w:r w:rsidRPr="006838A7">
                        <w:rPr>
                          <w:bCs/>
                        </w:rPr>
                        <w:t>Sustainable resources</w:t>
                      </w:r>
                    </w:p>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5B3BBAC6" wp14:editId="46A75E1C">
                <wp:simplePos x="0" y="0"/>
                <wp:positionH relativeFrom="column">
                  <wp:align>center</wp:align>
                </wp:positionH>
                <wp:positionV relativeFrom="paragraph">
                  <wp:posOffset>0</wp:posOffset>
                </wp:positionV>
                <wp:extent cx="8077200" cy="304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0" cy="304800"/>
                        </a:xfrm>
                        <a:prstGeom prst="rect">
                          <a:avLst/>
                        </a:prstGeom>
                        <a:solidFill>
                          <a:srgbClr val="FFFFFF"/>
                        </a:solidFill>
                        <a:ln w="9525">
                          <a:solidFill>
                            <a:srgbClr val="000000"/>
                          </a:solidFill>
                          <a:miter lim="800000"/>
                          <a:headEnd/>
                          <a:tailEnd/>
                        </a:ln>
                      </wps:spPr>
                      <wps:txbx>
                        <w:txbxContent>
                          <w:p w14:paraId="68D66C99" w14:textId="175723DD" w:rsidR="0047666A" w:rsidRDefault="0047666A">
                            <w:r w:rsidRPr="0047666A">
                              <w:rPr>
                                <w:b/>
                                <w:u w:val="single"/>
                              </w:rPr>
                              <w:t>Definition of Health Promotion</w:t>
                            </w:r>
                            <w:r>
                              <w:t>:</w:t>
                            </w:r>
                            <w:r w:rsidR="006838A7">
                              <w:t xml:space="preserve"> the process of enabling people to increase control over, and to improve, their health.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BBAC6" id="_x0000_s1030" type="#_x0000_t202" style="position:absolute;margin-left:0;margin-top:0;width:636pt;height:2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">
                <v:textbox>
                  <w:txbxContent>
                    <w:p w14:paraId="68D66C99" w14:textId="175723DD" w:rsidR="0047666A" w:rsidRDefault="0047666A">
                      <w:r w:rsidRPr="0047666A">
                        <w:rPr>
                          <w:b/>
                          <w:u w:val="single"/>
                        </w:rPr>
                        <w:t>Definition of Health Promotion</w:t>
                      </w:r>
                      <w:r>
                        <w:t>:</w:t>
                      </w:r>
                      <w:r w:rsidR="006838A7">
                        <w:t xml:space="preserve"> the process of enabling people to increase control over, and to improve, their health. </w:t>
                      </w:r>
                    </w:p>
                  </w:txbxContent>
                </v:textbox>
              </v:shape>
            </w:pict>
          </mc:Fallback>
        </mc:AlternateContent>
      </w:r>
    </w:p>
    <w:sectPr w:rsidR="00370849" w:rsidSect="0063392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B7441"/>
    <w:multiLevelType w:val="hybridMultilevel"/>
    <w:tmpl w:val="4BD6E56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683740B"/>
    <w:multiLevelType w:val="hybridMultilevel"/>
    <w:tmpl w:val="344CD5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28"/>
    <w:rsid w:val="000345DE"/>
    <w:rsid w:val="000926B5"/>
    <w:rsid w:val="001654D1"/>
    <w:rsid w:val="003118C7"/>
    <w:rsid w:val="003429D0"/>
    <w:rsid w:val="00370849"/>
    <w:rsid w:val="003C3854"/>
    <w:rsid w:val="0047666A"/>
    <w:rsid w:val="004F3669"/>
    <w:rsid w:val="005B72D4"/>
    <w:rsid w:val="00614721"/>
    <w:rsid w:val="00633928"/>
    <w:rsid w:val="006838A7"/>
    <w:rsid w:val="007433DB"/>
    <w:rsid w:val="00791C55"/>
    <w:rsid w:val="007D48FF"/>
    <w:rsid w:val="00A73440"/>
    <w:rsid w:val="00B66E8A"/>
    <w:rsid w:val="00B73B0D"/>
    <w:rsid w:val="00BC0130"/>
    <w:rsid w:val="00C526FB"/>
    <w:rsid w:val="00C95341"/>
    <w:rsid w:val="00D20DCA"/>
    <w:rsid w:val="00F73A11"/>
    <w:rsid w:val="00F81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78F3"/>
  <w15:docId w15:val="{70B5DFBE-4AAE-43F7-B1D7-28F8B365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66A"/>
    <w:rPr>
      <w:rFonts w:ascii="Tahoma" w:hAnsi="Tahoma" w:cs="Tahoma"/>
      <w:sz w:val="16"/>
      <w:szCs w:val="16"/>
    </w:rPr>
  </w:style>
  <w:style w:type="paragraph" w:styleId="ListParagraph">
    <w:name w:val="List Paragraph"/>
    <w:basedOn w:val="Normal"/>
    <w:uiPriority w:val="34"/>
    <w:qFormat/>
    <w:rsid w:val="004F3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44B557A1F0A944BCD706272640011E" ma:contentTypeVersion="4" ma:contentTypeDescription="Create a new document." ma:contentTypeScope="" ma:versionID="38705ce2bf1f1ac8532f7fbdc4c6e580">
  <xsd:schema xmlns:xsd="http://www.w3.org/2001/XMLSchema" xmlns:xs="http://www.w3.org/2001/XMLSchema" xmlns:p="http://schemas.microsoft.com/office/2006/metadata/properties" xmlns:ns2="568447dd-9102-43c0-94f0-c95e0f6ef817" targetNamespace="http://schemas.microsoft.com/office/2006/metadata/properties" ma:root="true" ma:fieldsID="14dbc75f744a336accdd39fb36238e8f" ns2:_="">
    <xsd:import namespace="568447dd-9102-43c0-94f0-c95e0f6ef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447dd-9102-43c0-94f0-c95e0f6e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7A4F8-73BC-47B4-91FF-7832430EFDD0}">
  <ds:schemaRefs>
    <ds:schemaRef ds:uri="http://schemas.microsoft.com/sharepoint/v3/contenttype/forms"/>
  </ds:schemaRefs>
</ds:datastoreItem>
</file>

<file path=customXml/itemProps2.xml><?xml version="1.0" encoding="utf-8"?>
<ds:datastoreItem xmlns:ds="http://schemas.openxmlformats.org/officeDocument/2006/customXml" ds:itemID="{BF17BC02-D1D8-41B1-B189-6847756BC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2EBA7F-05B0-48E2-9244-5B6CE778D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447dd-9102-43c0-94f0-c95e0f6ef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Rivette</dc:creator>
  <cp:lastModifiedBy>Ang Kichakov</cp:lastModifiedBy>
  <cp:revision>18</cp:revision>
  <cp:lastPrinted>2014-05-14T22:32:00Z</cp:lastPrinted>
  <dcterms:created xsi:type="dcterms:W3CDTF">2020-05-04T00:45:00Z</dcterms:created>
  <dcterms:modified xsi:type="dcterms:W3CDTF">2020-05-05T05:24:00Z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0x0101003F44B557A1F0A944BCD706272640011E</vt:lpwstr>
  </property>
</Properties>
</file>