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60CDA" w14:textId="77777777" w:rsidR="00121A87" w:rsidRPr="00300E9E" w:rsidRDefault="0085743A" w:rsidP="00121A87">
      <w:pPr>
        <w:jc w:val="center"/>
        <w:rPr>
          <w:b/>
          <w:color w:val="F7CAAC" w:themeColor="accent2" w:themeTint="66"/>
          <w:sz w:val="52"/>
          <w:szCs w:val="52"/>
          <w:u w:val="single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52"/>
          <w:szCs w:val="52"/>
          <w:u w:val="single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Low Intake of Fibre</w:t>
      </w:r>
    </w:p>
    <w:p w14:paraId="79B7D2CB" w14:textId="77777777" w:rsidR="00121A87" w:rsidRDefault="0085743A" w:rsidP="00121A87">
      <w:pPr>
        <w:pStyle w:val="ListParagraph"/>
        <w:numPr>
          <w:ilvl w:val="0"/>
          <w:numId w:val="1"/>
        </w:numPr>
        <w:ind w:left="426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Explore the 2 different types of fibre</w:t>
      </w:r>
      <w:r w:rsidR="00630D00">
        <w:rPr>
          <w:rFonts w:ascii="Century Gothic" w:hAnsi="Century Gothic"/>
          <w:sz w:val="24"/>
          <w:szCs w:val="24"/>
          <w:lang w:val="en-US"/>
        </w:rPr>
        <w:t>:</w:t>
      </w:r>
    </w:p>
    <w:p w14:paraId="1C1EC084" w14:textId="77777777" w:rsidR="00630D00" w:rsidRDefault="00630D00" w:rsidP="00630D00">
      <w:pPr>
        <w:pStyle w:val="ListParagraph"/>
        <w:ind w:left="426"/>
        <w:rPr>
          <w:rFonts w:ascii="Century Gothic" w:hAnsi="Century Gothic"/>
          <w:sz w:val="24"/>
          <w:szCs w:val="24"/>
          <w:lang w:val="en-US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404"/>
        <w:gridCol w:w="2977"/>
        <w:gridCol w:w="2977"/>
      </w:tblGrid>
      <w:tr w:rsidR="0085743A" w:rsidRPr="001962DE" w14:paraId="17123E1E" w14:textId="77777777" w:rsidTr="0085743A">
        <w:tc>
          <w:tcPr>
            <w:tcW w:w="2404" w:type="dxa"/>
          </w:tcPr>
          <w:p w14:paraId="62CC4AB6" w14:textId="77777777" w:rsidR="0085743A" w:rsidRPr="001962DE" w:rsidRDefault="0085743A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Type of fibre</w:t>
            </w:r>
          </w:p>
        </w:tc>
        <w:tc>
          <w:tcPr>
            <w:tcW w:w="2977" w:type="dxa"/>
          </w:tcPr>
          <w:p w14:paraId="525B2240" w14:textId="716592A7" w:rsidR="0085743A" w:rsidRPr="001962DE" w:rsidRDefault="00262510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Soluble fibre </w:t>
            </w:r>
          </w:p>
        </w:tc>
        <w:tc>
          <w:tcPr>
            <w:tcW w:w="2977" w:type="dxa"/>
          </w:tcPr>
          <w:p w14:paraId="0D3DCDF1" w14:textId="31FC94D5" w:rsidR="0085743A" w:rsidRPr="001962DE" w:rsidRDefault="00262510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Insoluble fibre</w:t>
            </w:r>
          </w:p>
        </w:tc>
      </w:tr>
      <w:tr w:rsidR="00FA6743" w:rsidRPr="001962DE" w14:paraId="2085CBBF" w14:textId="77777777" w:rsidTr="0085743A">
        <w:tc>
          <w:tcPr>
            <w:tcW w:w="2404" w:type="dxa"/>
          </w:tcPr>
          <w:p w14:paraId="31E5B4C7" w14:textId="77777777" w:rsidR="00FA6743" w:rsidRDefault="00FA6743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Features</w:t>
            </w:r>
          </w:p>
        </w:tc>
        <w:tc>
          <w:tcPr>
            <w:tcW w:w="2977" w:type="dxa"/>
          </w:tcPr>
          <w:p w14:paraId="545512C1" w14:textId="6EC05BA1" w:rsidR="00FA6743" w:rsidRPr="001962DE" w:rsidRDefault="00890172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Absorbs water </w:t>
            </w:r>
          </w:p>
        </w:tc>
        <w:tc>
          <w:tcPr>
            <w:tcW w:w="2977" w:type="dxa"/>
          </w:tcPr>
          <w:p w14:paraId="5EBD557F" w14:textId="10512680" w:rsidR="00FA6743" w:rsidRPr="001962DE" w:rsidRDefault="0088698F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Does </w:t>
            </w:r>
            <w:r w:rsidR="00517546">
              <w:rPr>
                <w:rFonts w:ascii="Century Gothic" w:hAnsi="Century Gothic"/>
                <w:sz w:val="20"/>
                <w:szCs w:val="20"/>
                <w:lang w:val="en-US"/>
              </w:rPr>
              <w:t>not absorb water</w:t>
            </w:r>
          </w:p>
        </w:tc>
      </w:tr>
      <w:tr w:rsidR="0085743A" w:rsidRPr="001962DE" w14:paraId="52BD80F9" w14:textId="77777777" w:rsidTr="0085743A">
        <w:tc>
          <w:tcPr>
            <w:tcW w:w="2404" w:type="dxa"/>
          </w:tcPr>
          <w:p w14:paraId="47E6135C" w14:textId="77777777" w:rsidR="0085743A" w:rsidRPr="001962DE" w:rsidRDefault="0085743A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Food sources</w:t>
            </w:r>
          </w:p>
        </w:tc>
        <w:tc>
          <w:tcPr>
            <w:tcW w:w="2977" w:type="dxa"/>
          </w:tcPr>
          <w:p w14:paraId="60819A5E" w14:textId="380CD77F" w:rsidR="0085743A" w:rsidRPr="001962DE" w:rsidRDefault="009207D3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Oats</w:t>
            </w:r>
            <w:r w:rsidR="005D0427">
              <w:rPr>
                <w:rFonts w:ascii="Century Gothic" w:hAnsi="Century Gothic"/>
                <w:sz w:val="20"/>
                <w:szCs w:val="20"/>
                <w:lang w:val="en-US"/>
              </w:rPr>
              <w:t>, fruits, vegetables</w:t>
            </w:r>
            <w:r w:rsidR="00D31D8B">
              <w:rPr>
                <w:rFonts w:ascii="Century Gothic" w:hAnsi="Century Gothic"/>
                <w:sz w:val="20"/>
                <w:szCs w:val="20"/>
                <w:lang w:val="en-US"/>
              </w:rPr>
              <w:t>, bar</w:t>
            </w:r>
            <w:r w:rsidR="00D26431">
              <w:rPr>
                <w:rFonts w:ascii="Century Gothic" w:hAnsi="Century Gothic"/>
                <w:sz w:val="20"/>
                <w:szCs w:val="20"/>
                <w:lang w:val="en-US"/>
              </w:rPr>
              <w:t>ley, seed husks, flaxseed</w:t>
            </w:r>
            <w:r w:rsidR="00E137CF">
              <w:rPr>
                <w:rFonts w:ascii="Century Gothic" w:hAnsi="Century Gothic"/>
                <w:sz w:val="20"/>
                <w:szCs w:val="20"/>
                <w:lang w:val="en-US"/>
              </w:rPr>
              <w:t>, dried beans, lentils, peas, soy milk and soy products.</w:t>
            </w:r>
          </w:p>
        </w:tc>
        <w:tc>
          <w:tcPr>
            <w:tcW w:w="2977" w:type="dxa"/>
          </w:tcPr>
          <w:p w14:paraId="670C0234" w14:textId="5697AEC7" w:rsidR="0085743A" w:rsidRPr="001962DE" w:rsidRDefault="00517546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Peels of fruit and vegetables, wheat bran, corn bran, rice bran, nuts, seeds, dried beans and wholegrain foods.</w:t>
            </w:r>
          </w:p>
        </w:tc>
      </w:tr>
      <w:tr w:rsidR="0085743A" w:rsidRPr="001962DE" w14:paraId="700C59FF" w14:textId="77777777" w:rsidTr="0085743A">
        <w:tc>
          <w:tcPr>
            <w:tcW w:w="2404" w:type="dxa"/>
          </w:tcPr>
          <w:p w14:paraId="4B09A281" w14:textId="77777777" w:rsidR="0085743A" w:rsidRPr="001962DE" w:rsidRDefault="0085743A" w:rsidP="0085743A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Impact on body weight</w:t>
            </w:r>
          </w:p>
        </w:tc>
        <w:tc>
          <w:tcPr>
            <w:tcW w:w="2977" w:type="dxa"/>
          </w:tcPr>
          <w:p w14:paraId="4BAC04BB" w14:textId="0F96C008" w:rsidR="0085743A" w:rsidRPr="001962DE" w:rsidRDefault="00A7376D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Travel through the </w:t>
            </w:r>
            <w:r w:rsidR="008B0BD9">
              <w:rPr>
                <w:rFonts w:ascii="Century Gothic" w:hAnsi="Century Gothic"/>
                <w:sz w:val="20"/>
                <w:szCs w:val="20"/>
                <w:lang w:val="en-US"/>
              </w:rPr>
              <w:t>digestive system without being absorbed</w:t>
            </w:r>
            <w:r w:rsidR="005C2D4B">
              <w:rPr>
                <w:rFonts w:ascii="Century Gothic" w:hAnsi="Century Gothic"/>
                <w:sz w:val="20"/>
                <w:szCs w:val="20"/>
                <w:lang w:val="en-US"/>
              </w:rPr>
              <w:t xml:space="preserve"> which promotes feelings of fu</w:t>
            </w:r>
            <w:r w:rsidR="008C409B">
              <w:rPr>
                <w:rFonts w:ascii="Century Gothic" w:hAnsi="Century Gothic"/>
                <w:sz w:val="20"/>
                <w:szCs w:val="20"/>
                <w:lang w:val="en-US"/>
              </w:rPr>
              <w:t>l</w:t>
            </w:r>
            <w:r w:rsidR="005C2D4B">
              <w:rPr>
                <w:rFonts w:ascii="Century Gothic" w:hAnsi="Century Gothic"/>
                <w:sz w:val="20"/>
                <w:szCs w:val="20"/>
                <w:lang w:val="en-US"/>
              </w:rPr>
              <w:t>lness</w:t>
            </w:r>
            <w:r w:rsidR="005035DB">
              <w:rPr>
                <w:rFonts w:ascii="Century Gothic" w:hAnsi="Century Gothic"/>
                <w:sz w:val="20"/>
                <w:szCs w:val="20"/>
                <w:lang w:val="en-US"/>
              </w:rPr>
              <w:t xml:space="preserve">. </w:t>
            </w:r>
            <w:r w:rsidR="00332CD4">
              <w:rPr>
                <w:rFonts w:ascii="Century Gothic" w:hAnsi="Century Gothic"/>
                <w:sz w:val="20"/>
                <w:szCs w:val="20"/>
                <w:lang w:val="en-US"/>
              </w:rPr>
              <w:t>Low intake of soluble fibres can cause over</w:t>
            </w:r>
            <w:r w:rsidR="00F818F0">
              <w:rPr>
                <w:rFonts w:ascii="Century Gothic" w:hAnsi="Century Gothic"/>
                <w:sz w:val="20"/>
                <w:szCs w:val="20"/>
                <w:lang w:val="en-US"/>
              </w:rPr>
              <w:t>eating and high BMI</w:t>
            </w:r>
            <w:r w:rsidR="005A24E7">
              <w:rPr>
                <w:rFonts w:ascii="Century Gothic" w:hAnsi="Century Gothic"/>
                <w:sz w:val="20"/>
                <w:szCs w:val="20"/>
                <w:lang w:val="en-US"/>
              </w:rPr>
              <w:t xml:space="preserve"> as well as </w:t>
            </w:r>
            <w:r w:rsidR="000B2F13">
              <w:rPr>
                <w:rFonts w:ascii="Century Gothic" w:hAnsi="Century Gothic"/>
                <w:sz w:val="20"/>
                <w:szCs w:val="20"/>
                <w:lang w:val="en-US"/>
              </w:rPr>
              <w:t>more glucose being absorbed by the body</w:t>
            </w:r>
            <w:r w:rsidR="003F5412">
              <w:rPr>
                <w:rFonts w:ascii="Century Gothic" w:hAnsi="Century Gothic"/>
                <w:sz w:val="20"/>
                <w:szCs w:val="20"/>
                <w:lang w:val="en-US"/>
              </w:rPr>
              <w:t>. Slows digestion</w:t>
            </w:r>
            <w:r w:rsidR="005A24E7">
              <w:rPr>
                <w:rFonts w:ascii="Century Gothic" w:hAnsi="Century Gothic"/>
                <w:sz w:val="20"/>
                <w:szCs w:val="20"/>
                <w:lang w:val="en-US"/>
              </w:rPr>
              <w:t>.</w:t>
            </w:r>
          </w:p>
        </w:tc>
        <w:tc>
          <w:tcPr>
            <w:tcW w:w="2977" w:type="dxa"/>
          </w:tcPr>
          <w:p w14:paraId="213E59EB" w14:textId="7BD3E4A3" w:rsidR="0085743A" w:rsidRPr="001962DE" w:rsidRDefault="00517546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Travel through the digestive system without being absor</w:t>
            </w:r>
            <w:r w:rsidR="002E20D6">
              <w:rPr>
                <w:rFonts w:ascii="Century Gothic" w:hAnsi="Century Gothic"/>
                <w:sz w:val="20"/>
                <w:szCs w:val="20"/>
                <w:lang w:val="en-US"/>
              </w:rPr>
              <w:t>b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ed, promoting feelings of </w:t>
            </w:r>
            <w:r w:rsidR="008C409B">
              <w:rPr>
                <w:rFonts w:ascii="Century Gothic" w:hAnsi="Century Gothic"/>
                <w:sz w:val="20"/>
                <w:szCs w:val="20"/>
                <w:lang w:val="en-US"/>
              </w:rPr>
              <w:t xml:space="preserve">fullness, therefore </w:t>
            </w:r>
            <w:r w:rsidR="00826267">
              <w:rPr>
                <w:rFonts w:ascii="Century Gothic" w:hAnsi="Century Gothic"/>
                <w:sz w:val="20"/>
                <w:szCs w:val="20"/>
                <w:lang w:val="en-US"/>
              </w:rPr>
              <w:t>low intake may lead to overeat and high BMI.</w:t>
            </w:r>
          </w:p>
        </w:tc>
      </w:tr>
      <w:tr w:rsidR="0085743A" w:rsidRPr="001962DE" w14:paraId="3F30C387" w14:textId="77777777" w:rsidTr="0085743A">
        <w:tc>
          <w:tcPr>
            <w:tcW w:w="2404" w:type="dxa"/>
          </w:tcPr>
          <w:p w14:paraId="24E56C5F" w14:textId="77777777" w:rsidR="0085743A" w:rsidRPr="001962DE" w:rsidRDefault="0085743A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Impact on cholesterol levels</w:t>
            </w:r>
          </w:p>
        </w:tc>
        <w:tc>
          <w:tcPr>
            <w:tcW w:w="2977" w:type="dxa"/>
          </w:tcPr>
          <w:p w14:paraId="107B3F2C" w14:textId="1EA52559" w:rsidR="0085743A" w:rsidRPr="001962DE" w:rsidRDefault="00604CB1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Attaches to particles of LDL cholesterol and helps to ex</w:t>
            </w:r>
            <w:r w:rsidR="002910C4">
              <w:rPr>
                <w:rFonts w:ascii="Century Gothic" w:hAnsi="Century Gothic"/>
                <w:sz w:val="20"/>
                <w:szCs w:val="20"/>
                <w:lang w:val="en-US"/>
              </w:rPr>
              <w:t>c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>rete them</w:t>
            </w:r>
            <w:r w:rsidR="00B46341">
              <w:rPr>
                <w:rFonts w:ascii="Century Gothic" w:hAnsi="Century Gothic"/>
                <w:sz w:val="20"/>
                <w:szCs w:val="20"/>
                <w:lang w:val="en-US"/>
              </w:rPr>
              <w:t>, helping decrease levels of cholesterol in the body, reducing rates of morbidity and mortality from cardiova</w:t>
            </w:r>
            <w:r w:rsidR="002910C4">
              <w:rPr>
                <w:rFonts w:ascii="Century Gothic" w:hAnsi="Century Gothic"/>
                <w:sz w:val="20"/>
                <w:szCs w:val="20"/>
                <w:lang w:val="en-US"/>
              </w:rPr>
              <w:t>scular disease. Low intake shows to increase cholesterol absorption and risk of CVD.</w:t>
            </w:r>
          </w:p>
        </w:tc>
        <w:tc>
          <w:tcPr>
            <w:tcW w:w="2977" w:type="dxa"/>
          </w:tcPr>
          <w:p w14:paraId="63333979" w14:textId="10B8DA8E" w:rsidR="0085743A" w:rsidRPr="001962DE" w:rsidRDefault="00607179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Low intake has been shown to increase the rate of cholesterol absorption and the risk of cardiovascular disease.</w:t>
            </w:r>
          </w:p>
        </w:tc>
      </w:tr>
      <w:tr w:rsidR="0085743A" w:rsidRPr="001962DE" w14:paraId="66C90BA4" w14:textId="77777777" w:rsidTr="0085743A">
        <w:tc>
          <w:tcPr>
            <w:tcW w:w="2404" w:type="dxa"/>
          </w:tcPr>
          <w:p w14:paraId="4CC9F373" w14:textId="77777777" w:rsidR="0085743A" w:rsidRDefault="0085743A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Impact on colorectal cancer risk</w:t>
            </w:r>
          </w:p>
        </w:tc>
        <w:tc>
          <w:tcPr>
            <w:tcW w:w="2977" w:type="dxa"/>
          </w:tcPr>
          <w:p w14:paraId="7A8D61B5" w14:textId="3C2704F0" w:rsidR="0085743A" w:rsidRPr="001962DE" w:rsidRDefault="00EE3D0D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Adds bulk to faeces</w:t>
            </w:r>
            <w:r w:rsidR="00E23864">
              <w:rPr>
                <w:rFonts w:ascii="Century Gothic" w:hAnsi="Century Gothic"/>
                <w:sz w:val="20"/>
                <w:szCs w:val="20"/>
                <w:lang w:val="en-US"/>
              </w:rPr>
              <w:t xml:space="preserve"> and assists in keeping the digestive system clean. </w:t>
            </w:r>
            <w:r w:rsidR="00FF3AC1">
              <w:rPr>
                <w:rFonts w:ascii="Century Gothic" w:hAnsi="Century Gothic"/>
                <w:sz w:val="20"/>
                <w:szCs w:val="20"/>
                <w:lang w:val="en-US"/>
              </w:rPr>
              <w:t xml:space="preserve">Low intake </w:t>
            </w:r>
            <w:r w:rsidR="004C4906">
              <w:rPr>
                <w:rFonts w:ascii="Century Gothic" w:hAnsi="Century Gothic"/>
                <w:sz w:val="20"/>
                <w:szCs w:val="20"/>
                <w:lang w:val="en-US"/>
              </w:rPr>
              <w:t xml:space="preserve">is associated with higher rates of morbidity and mortality from </w:t>
            </w:r>
            <w:r w:rsidR="002910C4">
              <w:rPr>
                <w:rFonts w:ascii="Century Gothic" w:hAnsi="Century Gothic"/>
                <w:sz w:val="20"/>
                <w:szCs w:val="20"/>
                <w:lang w:val="en-US"/>
              </w:rPr>
              <w:t>colorectal</w:t>
            </w:r>
            <w:r w:rsidR="004C4906">
              <w:rPr>
                <w:rFonts w:ascii="Century Gothic" w:hAnsi="Century Gothic"/>
                <w:sz w:val="20"/>
                <w:szCs w:val="20"/>
                <w:lang w:val="en-US"/>
              </w:rPr>
              <w:t xml:space="preserve"> cancer.</w:t>
            </w:r>
          </w:p>
        </w:tc>
        <w:tc>
          <w:tcPr>
            <w:tcW w:w="2977" w:type="dxa"/>
          </w:tcPr>
          <w:p w14:paraId="1CEA6247" w14:textId="69CB48AD" w:rsidR="0085743A" w:rsidRPr="001962DE" w:rsidRDefault="00171998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Adds bulk to faeces and assists in keeping the digestive tract clean. Low fibre intake</w:t>
            </w:r>
            <w:r w:rsidR="00621EED">
              <w:rPr>
                <w:rFonts w:ascii="Century Gothic" w:hAnsi="Century Gothic"/>
                <w:sz w:val="20"/>
                <w:szCs w:val="20"/>
                <w:lang w:val="en-US"/>
              </w:rPr>
              <w:t xml:space="preserve"> is associated with higher rates of morbidity </w:t>
            </w:r>
            <w:r w:rsidR="00EF53FF">
              <w:rPr>
                <w:rFonts w:ascii="Century Gothic" w:hAnsi="Century Gothic"/>
                <w:sz w:val="20"/>
                <w:szCs w:val="20"/>
                <w:lang w:val="en-US"/>
              </w:rPr>
              <w:t xml:space="preserve">from colorectal cancer. </w:t>
            </w:r>
          </w:p>
        </w:tc>
      </w:tr>
    </w:tbl>
    <w:p w14:paraId="49D08837" w14:textId="77777777" w:rsidR="00B76186" w:rsidRPr="00FA6743" w:rsidRDefault="00B76186" w:rsidP="00FA6743">
      <w:pPr>
        <w:rPr>
          <w:rFonts w:ascii="Century Gothic" w:hAnsi="Century Gothic"/>
          <w:sz w:val="24"/>
          <w:szCs w:val="24"/>
          <w:lang w:val="en-US"/>
        </w:rPr>
      </w:pPr>
    </w:p>
    <w:p w14:paraId="60068690" w14:textId="77777777" w:rsidR="00B76186" w:rsidRDefault="00FA6743" w:rsidP="00B76186">
      <w:pPr>
        <w:pStyle w:val="ListParagraph"/>
        <w:numPr>
          <w:ilvl w:val="0"/>
          <w:numId w:val="1"/>
        </w:numPr>
        <w:ind w:left="426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How is this content related to the work you did on the under-consumption of fruit and vegetable?</w:t>
      </w:r>
      <w:r w:rsidR="00B76186">
        <w:rPr>
          <w:rFonts w:ascii="Century Gothic" w:hAnsi="Century Gothic"/>
          <w:sz w:val="24"/>
          <w:szCs w:val="24"/>
          <w:lang w:val="en-US"/>
        </w:rPr>
        <w:t xml:space="preserve"> </w:t>
      </w:r>
    </w:p>
    <w:p w14:paraId="75652152" w14:textId="1A43A61C" w:rsidR="00B76186" w:rsidRPr="00B76186" w:rsidRDefault="00080F2B" w:rsidP="00B76186">
      <w:pPr>
        <w:pStyle w:val="ListParagraph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If you under consume vegetable and fruits you may not get proper amounts of fibre that you need.</w:t>
      </w:r>
    </w:p>
    <w:p w14:paraId="43BC2CEB" w14:textId="77777777" w:rsidR="00B76186" w:rsidRDefault="00B76186" w:rsidP="00B76186">
      <w:pPr>
        <w:pStyle w:val="ListParagraph"/>
        <w:ind w:left="426"/>
        <w:rPr>
          <w:rFonts w:ascii="Century Gothic" w:hAnsi="Century Gothic"/>
          <w:sz w:val="24"/>
          <w:szCs w:val="24"/>
          <w:lang w:val="en-US"/>
        </w:rPr>
      </w:pPr>
    </w:p>
    <w:p w14:paraId="2513FD07" w14:textId="143CCA69" w:rsidR="00121A87" w:rsidRDefault="00B76186" w:rsidP="00121A87">
      <w:pPr>
        <w:pStyle w:val="ListParagraph"/>
        <w:numPr>
          <w:ilvl w:val="0"/>
          <w:numId w:val="1"/>
        </w:numPr>
        <w:ind w:left="426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Explain </w:t>
      </w:r>
      <w:r w:rsidR="00773BF4">
        <w:rPr>
          <w:rFonts w:ascii="Century Gothic" w:hAnsi="Century Gothic"/>
          <w:sz w:val="24"/>
          <w:szCs w:val="24"/>
          <w:lang w:val="en-US"/>
        </w:rPr>
        <w:t>3</w:t>
      </w:r>
      <w:r w:rsidR="00121A87">
        <w:rPr>
          <w:rFonts w:ascii="Century Gothic" w:hAnsi="Century Gothic"/>
          <w:sz w:val="24"/>
          <w:szCs w:val="24"/>
          <w:lang w:val="en-US"/>
        </w:rPr>
        <w:t xml:space="preserve"> ways that </w:t>
      </w:r>
      <w:r w:rsidR="00FA6743">
        <w:rPr>
          <w:rFonts w:ascii="Century Gothic" w:hAnsi="Century Gothic"/>
          <w:sz w:val="24"/>
          <w:szCs w:val="24"/>
          <w:lang w:val="en-US"/>
        </w:rPr>
        <w:t>under</w:t>
      </w:r>
      <w:r w:rsidR="00086977">
        <w:rPr>
          <w:rFonts w:ascii="Century Gothic" w:hAnsi="Century Gothic"/>
          <w:sz w:val="24"/>
          <w:szCs w:val="24"/>
          <w:lang w:val="en-US"/>
        </w:rPr>
        <w:t xml:space="preserve"> consumption of </w:t>
      </w:r>
      <w:r w:rsidR="00FA6743">
        <w:rPr>
          <w:rFonts w:ascii="Century Gothic" w:hAnsi="Century Gothic"/>
          <w:sz w:val="24"/>
          <w:szCs w:val="24"/>
          <w:lang w:val="en-US"/>
        </w:rPr>
        <w:t>fibre</w:t>
      </w:r>
      <w:r w:rsidR="00121A87">
        <w:rPr>
          <w:rFonts w:ascii="Century Gothic" w:hAnsi="Century Gothic"/>
          <w:sz w:val="24"/>
          <w:szCs w:val="24"/>
          <w:lang w:val="en-US"/>
        </w:rPr>
        <w:t xml:space="preserve"> can contribute to </w:t>
      </w:r>
      <w:r w:rsidR="00121A87" w:rsidRPr="00402C2E">
        <w:rPr>
          <w:rFonts w:ascii="Century Gothic" w:hAnsi="Century Gothic"/>
          <w:b/>
          <w:sz w:val="24"/>
          <w:szCs w:val="24"/>
          <w:lang w:val="en-US"/>
        </w:rPr>
        <w:t>Burden of Disease</w:t>
      </w:r>
      <w:r w:rsidR="00121A87">
        <w:rPr>
          <w:rFonts w:ascii="Century Gothic" w:hAnsi="Century Gothic"/>
          <w:sz w:val="24"/>
          <w:szCs w:val="24"/>
          <w:lang w:val="en-US"/>
        </w:rPr>
        <w:t xml:space="preserve"> in Australia:</w:t>
      </w:r>
    </w:p>
    <w:tbl>
      <w:tblPr>
        <w:tblStyle w:val="TableGrid"/>
        <w:tblW w:w="0" w:type="auto"/>
        <w:tblInd w:w="66" w:type="dxa"/>
        <w:tblLook w:val="04A0" w:firstRow="1" w:lastRow="0" w:firstColumn="1" w:lastColumn="0" w:noHBand="0" w:noVBand="1"/>
      </w:tblPr>
      <w:tblGrid>
        <w:gridCol w:w="8950"/>
      </w:tblGrid>
      <w:tr w:rsidR="00121A87" w14:paraId="1E3471E4" w14:textId="77777777" w:rsidTr="0091176F">
        <w:tc>
          <w:tcPr>
            <w:tcW w:w="8950" w:type="dxa"/>
          </w:tcPr>
          <w:p w14:paraId="0ADEBE3A" w14:textId="2F0AEAAA" w:rsidR="00121A87" w:rsidRDefault="00C80320" w:rsidP="0091176F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Contributes to DALY associated with colorectal cancer and cardiovascular disease.</w:t>
            </w:r>
          </w:p>
        </w:tc>
      </w:tr>
      <w:tr w:rsidR="00121A87" w14:paraId="310E1A15" w14:textId="77777777" w:rsidTr="0091176F">
        <w:tc>
          <w:tcPr>
            <w:tcW w:w="8950" w:type="dxa"/>
          </w:tcPr>
          <w:p w14:paraId="5D0201DB" w14:textId="77777777" w:rsidR="00121A87" w:rsidRDefault="00121A87" w:rsidP="0091176F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121A87" w14:paraId="21101129" w14:textId="77777777" w:rsidTr="0091176F">
        <w:tc>
          <w:tcPr>
            <w:tcW w:w="8950" w:type="dxa"/>
          </w:tcPr>
          <w:p w14:paraId="050B6436" w14:textId="77777777" w:rsidR="00121A87" w:rsidRDefault="00121A87" w:rsidP="0091176F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</w:tbl>
    <w:p w14:paraId="6F1E515A" w14:textId="77777777" w:rsidR="00B76186" w:rsidRPr="00FA6743" w:rsidRDefault="00B76186" w:rsidP="00FA6743">
      <w:pPr>
        <w:rPr>
          <w:rFonts w:ascii="Century Gothic" w:hAnsi="Century Gothic"/>
          <w:sz w:val="24"/>
          <w:szCs w:val="24"/>
          <w:lang w:val="en-US"/>
        </w:rPr>
      </w:pPr>
    </w:p>
    <w:p w14:paraId="7923EA1F" w14:textId="2A05D8F5" w:rsidR="00121A87" w:rsidRDefault="00B76186" w:rsidP="00121A87">
      <w:pPr>
        <w:pStyle w:val="ListParagraph"/>
        <w:numPr>
          <w:ilvl w:val="0"/>
          <w:numId w:val="1"/>
        </w:numPr>
        <w:ind w:left="426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lastRenderedPageBreak/>
        <w:t xml:space="preserve">Explain </w:t>
      </w:r>
      <w:r w:rsidR="00773BF4">
        <w:rPr>
          <w:rFonts w:ascii="Century Gothic" w:hAnsi="Century Gothic"/>
          <w:sz w:val="24"/>
          <w:szCs w:val="24"/>
          <w:lang w:val="en-US"/>
        </w:rPr>
        <w:t>3</w:t>
      </w:r>
      <w:r w:rsidR="009B3ABB">
        <w:rPr>
          <w:rFonts w:ascii="Century Gothic" w:hAnsi="Century Gothic"/>
          <w:sz w:val="24"/>
          <w:szCs w:val="24"/>
          <w:lang w:val="en-US"/>
        </w:rPr>
        <w:t xml:space="preserve"> ways that </w:t>
      </w:r>
      <w:r>
        <w:rPr>
          <w:rFonts w:ascii="Century Gothic" w:hAnsi="Century Gothic"/>
          <w:sz w:val="24"/>
          <w:szCs w:val="24"/>
          <w:lang w:val="en-US"/>
        </w:rPr>
        <w:t>over</w:t>
      </w:r>
      <w:r w:rsidR="00086977">
        <w:rPr>
          <w:rFonts w:ascii="Century Gothic" w:hAnsi="Century Gothic"/>
          <w:sz w:val="24"/>
          <w:szCs w:val="24"/>
          <w:lang w:val="en-US"/>
        </w:rPr>
        <w:t xml:space="preserve"> consumption of </w:t>
      </w:r>
      <w:r w:rsidR="00FA6743">
        <w:rPr>
          <w:rFonts w:ascii="Century Gothic" w:hAnsi="Century Gothic"/>
          <w:sz w:val="24"/>
          <w:szCs w:val="24"/>
          <w:lang w:val="en-US"/>
        </w:rPr>
        <w:t>fibre</w:t>
      </w:r>
      <w:r w:rsidR="00121A87">
        <w:rPr>
          <w:rFonts w:ascii="Century Gothic" w:hAnsi="Century Gothic"/>
          <w:sz w:val="24"/>
          <w:szCs w:val="24"/>
          <w:lang w:val="en-US"/>
        </w:rPr>
        <w:t xml:space="preserve"> can contribute to </w:t>
      </w:r>
      <w:r w:rsidR="00121A87">
        <w:rPr>
          <w:rFonts w:ascii="Century Gothic" w:hAnsi="Century Gothic"/>
          <w:b/>
          <w:sz w:val="24"/>
          <w:szCs w:val="24"/>
          <w:lang w:val="en-US"/>
        </w:rPr>
        <w:t>Health Status</w:t>
      </w:r>
      <w:r w:rsidR="00121A87">
        <w:rPr>
          <w:rFonts w:ascii="Century Gothic" w:hAnsi="Century Gothic"/>
          <w:sz w:val="24"/>
          <w:szCs w:val="24"/>
          <w:lang w:val="en-US"/>
        </w:rPr>
        <w:t xml:space="preserve"> in Australia:</w:t>
      </w:r>
    </w:p>
    <w:tbl>
      <w:tblPr>
        <w:tblStyle w:val="TableGrid"/>
        <w:tblW w:w="0" w:type="auto"/>
        <w:tblInd w:w="66" w:type="dxa"/>
        <w:tblLook w:val="04A0" w:firstRow="1" w:lastRow="0" w:firstColumn="1" w:lastColumn="0" w:noHBand="0" w:noVBand="1"/>
      </w:tblPr>
      <w:tblGrid>
        <w:gridCol w:w="8950"/>
      </w:tblGrid>
      <w:tr w:rsidR="00121A87" w14:paraId="4228FDF3" w14:textId="77777777" w:rsidTr="00B76186">
        <w:tc>
          <w:tcPr>
            <w:tcW w:w="8950" w:type="dxa"/>
          </w:tcPr>
          <w:p w14:paraId="71D98DFC" w14:textId="102F4F44" w:rsidR="00121A87" w:rsidRDefault="00B86520" w:rsidP="0091176F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Increased morbidity and mortality rates from colorectal cancer</w:t>
            </w:r>
            <w:r w:rsidR="004D461D">
              <w:rPr>
                <w:rFonts w:ascii="Century Gothic" w:hAnsi="Century Gothic"/>
                <w:sz w:val="24"/>
                <w:szCs w:val="24"/>
                <w:lang w:val="en-US"/>
              </w:rPr>
              <w:t xml:space="preserve"> and cardiovascular disease</w:t>
            </w:r>
          </w:p>
        </w:tc>
      </w:tr>
      <w:tr w:rsidR="00121A87" w14:paraId="42463DBF" w14:textId="77777777" w:rsidTr="00B76186">
        <w:tc>
          <w:tcPr>
            <w:tcW w:w="8950" w:type="dxa"/>
          </w:tcPr>
          <w:p w14:paraId="39A3216E" w14:textId="090AB731" w:rsidR="00121A87" w:rsidRDefault="004D461D" w:rsidP="0091176F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Lower life expectancy and HALE</w:t>
            </w:r>
          </w:p>
        </w:tc>
      </w:tr>
      <w:tr w:rsidR="00121A87" w14:paraId="06D5AD8F" w14:textId="77777777" w:rsidTr="00B76186">
        <w:tc>
          <w:tcPr>
            <w:tcW w:w="8950" w:type="dxa"/>
          </w:tcPr>
          <w:p w14:paraId="1BBB987D" w14:textId="77777777" w:rsidR="00121A87" w:rsidRDefault="00121A87" w:rsidP="0091176F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</w:tbl>
    <w:p w14:paraId="395BB815" w14:textId="77777777" w:rsidR="00121A87" w:rsidRDefault="00121A87" w:rsidP="00121A87">
      <w:pPr>
        <w:ind w:left="66"/>
        <w:rPr>
          <w:rFonts w:ascii="Century Gothic" w:hAnsi="Century Gothic"/>
          <w:sz w:val="24"/>
          <w:szCs w:val="24"/>
          <w:lang w:val="en-US"/>
        </w:rPr>
      </w:pPr>
    </w:p>
    <w:p w14:paraId="0EB1C2DE" w14:textId="77777777" w:rsidR="000B5155" w:rsidRDefault="0075756D" w:rsidP="000B5155">
      <w:pPr>
        <w:jc w:val="center"/>
        <w:rPr>
          <w:b/>
          <w:color w:val="F7CAAC" w:themeColor="accent2" w:themeTint="66"/>
          <w:sz w:val="52"/>
          <w:szCs w:val="52"/>
          <w:u w:val="single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br w:type="page"/>
      </w:r>
      <w:r w:rsidR="00FA6743">
        <w:rPr>
          <w:b/>
          <w:color w:val="F7CAAC" w:themeColor="accent2" w:themeTint="66"/>
          <w:sz w:val="52"/>
          <w:szCs w:val="52"/>
          <w:u w:val="single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>Low</w:t>
      </w:r>
      <w:r w:rsidR="00837CD9">
        <w:rPr>
          <w:b/>
          <w:color w:val="F7CAAC" w:themeColor="accent2" w:themeTint="66"/>
          <w:sz w:val="52"/>
          <w:szCs w:val="52"/>
          <w:u w:val="single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Intake</w:t>
      </w:r>
      <w:r w:rsidR="00086977" w:rsidRPr="00086977">
        <w:rPr>
          <w:b/>
          <w:color w:val="F7CAAC" w:themeColor="accent2" w:themeTint="66"/>
          <w:sz w:val="52"/>
          <w:szCs w:val="52"/>
          <w:u w:val="single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of </w:t>
      </w:r>
      <w:r w:rsidR="00FA6743">
        <w:rPr>
          <w:b/>
          <w:color w:val="F7CAAC" w:themeColor="accent2" w:themeTint="66"/>
          <w:sz w:val="52"/>
          <w:szCs w:val="52"/>
          <w:u w:val="single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Iron</w:t>
      </w:r>
    </w:p>
    <w:p w14:paraId="548D6BD4" w14:textId="77777777" w:rsidR="000B5155" w:rsidRDefault="000B5155" w:rsidP="000B5155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Exploring Iron:</w:t>
      </w:r>
    </w:p>
    <w:p w14:paraId="506E9229" w14:textId="77777777" w:rsidR="000B5155" w:rsidRPr="000B5155" w:rsidRDefault="000B5155" w:rsidP="000B5155">
      <w:pPr>
        <w:pStyle w:val="ListParagraph"/>
        <w:rPr>
          <w:rFonts w:ascii="Century Gothic" w:hAnsi="Century Gothic"/>
          <w:sz w:val="24"/>
          <w:szCs w:val="24"/>
          <w:lang w:val="en-US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404"/>
        <w:gridCol w:w="5387"/>
      </w:tblGrid>
      <w:tr w:rsidR="000B5155" w:rsidRPr="001962DE" w14:paraId="37F2AFD4" w14:textId="77777777" w:rsidTr="000B5155">
        <w:tc>
          <w:tcPr>
            <w:tcW w:w="2404" w:type="dxa"/>
          </w:tcPr>
          <w:p w14:paraId="3CEA092F" w14:textId="77777777" w:rsidR="000B5155" w:rsidRPr="001962DE" w:rsidRDefault="000B5155" w:rsidP="00E32E85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Function of iron</w:t>
            </w:r>
          </w:p>
        </w:tc>
        <w:tc>
          <w:tcPr>
            <w:tcW w:w="5387" w:type="dxa"/>
          </w:tcPr>
          <w:p w14:paraId="796F2531" w14:textId="09B3332E" w:rsidR="000B5155" w:rsidRPr="001962DE" w:rsidRDefault="00252081" w:rsidP="00E32E85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Oxygen carrying part of blood. </w:t>
            </w:r>
          </w:p>
        </w:tc>
      </w:tr>
      <w:tr w:rsidR="000B5155" w:rsidRPr="001962DE" w14:paraId="6CE41687" w14:textId="77777777" w:rsidTr="000B5155">
        <w:tc>
          <w:tcPr>
            <w:tcW w:w="2404" w:type="dxa"/>
          </w:tcPr>
          <w:p w14:paraId="74502890" w14:textId="77777777" w:rsidR="000B5155" w:rsidRDefault="000B5155" w:rsidP="00E32E85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Food sources</w:t>
            </w:r>
          </w:p>
        </w:tc>
        <w:tc>
          <w:tcPr>
            <w:tcW w:w="5387" w:type="dxa"/>
          </w:tcPr>
          <w:p w14:paraId="42310044" w14:textId="7711B64B" w:rsidR="000B5155" w:rsidRPr="001962DE" w:rsidRDefault="00690899" w:rsidP="00E32E85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Read meat, brown rice, eggs.</w:t>
            </w:r>
          </w:p>
        </w:tc>
      </w:tr>
    </w:tbl>
    <w:p w14:paraId="0541337B" w14:textId="77777777" w:rsidR="00505E0F" w:rsidRPr="000B5155" w:rsidRDefault="00505E0F" w:rsidP="000B5155">
      <w:pPr>
        <w:rPr>
          <w:rFonts w:ascii="Century Gothic" w:hAnsi="Century Gothic"/>
          <w:sz w:val="24"/>
          <w:szCs w:val="24"/>
          <w:lang w:val="en-US"/>
        </w:rPr>
      </w:pPr>
    </w:p>
    <w:p w14:paraId="3160A1AB" w14:textId="77777777" w:rsidR="0075756D" w:rsidRDefault="00FB7CDE" w:rsidP="00FB7CDE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Explain </w:t>
      </w:r>
      <w:r w:rsidR="000B5155">
        <w:rPr>
          <w:rFonts w:ascii="Century Gothic" w:hAnsi="Century Gothic"/>
          <w:sz w:val="24"/>
          <w:szCs w:val="24"/>
          <w:lang w:val="en-US"/>
        </w:rPr>
        <w:t>1 way</w:t>
      </w:r>
      <w:r w:rsidR="0075756D">
        <w:rPr>
          <w:rFonts w:ascii="Century Gothic" w:hAnsi="Century Gothic"/>
          <w:sz w:val="24"/>
          <w:szCs w:val="24"/>
          <w:lang w:val="en-US"/>
        </w:rPr>
        <w:t xml:space="preserve"> that </w:t>
      </w:r>
      <w:r w:rsidR="000B5155">
        <w:rPr>
          <w:rFonts w:ascii="Century Gothic" w:hAnsi="Century Gothic"/>
          <w:sz w:val="24"/>
          <w:szCs w:val="24"/>
          <w:lang w:val="en-US"/>
        </w:rPr>
        <w:t>under</w:t>
      </w:r>
      <w:r>
        <w:rPr>
          <w:rFonts w:ascii="Century Gothic" w:hAnsi="Century Gothic"/>
          <w:sz w:val="24"/>
          <w:szCs w:val="24"/>
          <w:lang w:val="en-US"/>
        </w:rPr>
        <w:t xml:space="preserve">-consumption of </w:t>
      </w:r>
      <w:r w:rsidR="000B5155">
        <w:rPr>
          <w:rFonts w:ascii="Century Gothic" w:hAnsi="Century Gothic"/>
          <w:sz w:val="24"/>
          <w:szCs w:val="24"/>
          <w:lang w:val="en-US"/>
        </w:rPr>
        <w:t>iron</w:t>
      </w:r>
      <w:r w:rsidR="0075756D">
        <w:rPr>
          <w:rFonts w:ascii="Century Gothic" w:hAnsi="Century Gothic"/>
          <w:sz w:val="24"/>
          <w:szCs w:val="24"/>
          <w:lang w:val="en-US"/>
        </w:rPr>
        <w:t xml:space="preserve"> can contribute to </w:t>
      </w:r>
      <w:r w:rsidR="0075756D" w:rsidRPr="00402C2E">
        <w:rPr>
          <w:rFonts w:ascii="Century Gothic" w:hAnsi="Century Gothic"/>
          <w:b/>
          <w:sz w:val="24"/>
          <w:szCs w:val="24"/>
          <w:lang w:val="en-US"/>
        </w:rPr>
        <w:t>Burden of Disease</w:t>
      </w:r>
      <w:r w:rsidR="0075756D">
        <w:rPr>
          <w:rFonts w:ascii="Century Gothic" w:hAnsi="Century Gothic"/>
          <w:sz w:val="24"/>
          <w:szCs w:val="24"/>
          <w:lang w:val="en-US"/>
        </w:rPr>
        <w:t xml:space="preserve"> in Australia:</w:t>
      </w:r>
    </w:p>
    <w:tbl>
      <w:tblPr>
        <w:tblStyle w:val="TableGrid"/>
        <w:tblW w:w="0" w:type="auto"/>
        <w:tblInd w:w="66" w:type="dxa"/>
        <w:tblLook w:val="04A0" w:firstRow="1" w:lastRow="0" w:firstColumn="1" w:lastColumn="0" w:noHBand="0" w:noVBand="1"/>
      </w:tblPr>
      <w:tblGrid>
        <w:gridCol w:w="8950"/>
      </w:tblGrid>
      <w:tr w:rsidR="0075756D" w14:paraId="66B245FF" w14:textId="77777777" w:rsidTr="0091176F">
        <w:tc>
          <w:tcPr>
            <w:tcW w:w="8950" w:type="dxa"/>
          </w:tcPr>
          <w:p w14:paraId="6326E87F" w14:textId="0E7045D4" w:rsidR="0075756D" w:rsidRDefault="001F789E" w:rsidP="0091176F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YLD due to anaemia, especially among females of childbearing age.</w:t>
            </w:r>
          </w:p>
        </w:tc>
      </w:tr>
    </w:tbl>
    <w:p w14:paraId="60343D1F" w14:textId="77777777" w:rsidR="009D49E0" w:rsidRPr="009D49E0" w:rsidRDefault="009D49E0" w:rsidP="009D49E0">
      <w:pPr>
        <w:rPr>
          <w:rFonts w:ascii="Century Gothic" w:hAnsi="Century Gothic"/>
          <w:sz w:val="24"/>
          <w:szCs w:val="24"/>
          <w:lang w:val="en-US"/>
        </w:rPr>
      </w:pPr>
    </w:p>
    <w:p w14:paraId="4F19C745" w14:textId="77777777" w:rsidR="0075756D" w:rsidRDefault="000B5155" w:rsidP="00FB7CDE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Explain 1 way</w:t>
      </w:r>
      <w:r w:rsidR="0075756D">
        <w:rPr>
          <w:rFonts w:ascii="Century Gothic" w:hAnsi="Century Gothic"/>
          <w:sz w:val="24"/>
          <w:szCs w:val="24"/>
          <w:lang w:val="en-US"/>
        </w:rPr>
        <w:t xml:space="preserve"> that </w:t>
      </w:r>
      <w:r>
        <w:rPr>
          <w:rFonts w:ascii="Century Gothic" w:hAnsi="Century Gothic"/>
          <w:sz w:val="24"/>
          <w:szCs w:val="24"/>
          <w:lang w:val="en-US"/>
        </w:rPr>
        <w:t>under</w:t>
      </w:r>
      <w:r w:rsidR="00FB7CDE">
        <w:rPr>
          <w:rFonts w:ascii="Century Gothic" w:hAnsi="Century Gothic"/>
          <w:sz w:val="24"/>
          <w:szCs w:val="24"/>
          <w:lang w:val="en-US"/>
        </w:rPr>
        <w:t xml:space="preserve">-consumption of </w:t>
      </w:r>
      <w:r>
        <w:rPr>
          <w:rFonts w:ascii="Century Gothic" w:hAnsi="Century Gothic"/>
          <w:sz w:val="24"/>
          <w:szCs w:val="24"/>
          <w:lang w:val="en-US"/>
        </w:rPr>
        <w:t>iron</w:t>
      </w:r>
      <w:r w:rsidR="0075756D">
        <w:rPr>
          <w:rFonts w:ascii="Century Gothic" w:hAnsi="Century Gothic"/>
          <w:sz w:val="24"/>
          <w:szCs w:val="24"/>
          <w:lang w:val="en-US"/>
        </w:rPr>
        <w:t xml:space="preserve"> can contribute to </w:t>
      </w:r>
      <w:r w:rsidR="0075756D">
        <w:rPr>
          <w:rFonts w:ascii="Century Gothic" w:hAnsi="Century Gothic"/>
          <w:b/>
          <w:sz w:val="24"/>
          <w:szCs w:val="24"/>
          <w:lang w:val="en-US"/>
        </w:rPr>
        <w:t>Health Status</w:t>
      </w:r>
      <w:r w:rsidR="0075756D">
        <w:rPr>
          <w:rFonts w:ascii="Century Gothic" w:hAnsi="Century Gothic"/>
          <w:sz w:val="24"/>
          <w:szCs w:val="24"/>
          <w:lang w:val="en-US"/>
        </w:rPr>
        <w:t xml:space="preserve"> in Australia:</w:t>
      </w:r>
    </w:p>
    <w:tbl>
      <w:tblPr>
        <w:tblStyle w:val="TableGrid"/>
        <w:tblW w:w="0" w:type="auto"/>
        <w:tblInd w:w="66" w:type="dxa"/>
        <w:tblLook w:val="04A0" w:firstRow="1" w:lastRow="0" w:firstColumn="1" w:lastColumn="0" w:noHBand="0" w:noVBand="1"/>
      </w:tblPr>
      <w:tblGrid>
        <w:gridCol w:w="8950"/>
      </w:tblGrid>
      <w:tr w:rsidR="0075756D" w14:paraId="01E6CDCF" w14:textId="77777777" w:rsidTr="00505E0F">
        <w:tc>
          <w:tcPr>
            <w:tcW w:w="8950" w:type="dxa"/>
          </w:tcPr>
          <w:p w14:paraId="2AFE8952" w14:textId="3C817AE3" w:rsidR="0075756D" w:rsidRDefault="001F789E" w:rsidP="0091176F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Incidence and prevalence of anaemia, especially among females of childbearing age. </w:t>
            </w:r>
          </w:p>
        </w:tc>
      </w:tr>
    </w:tbl>
    <w:p w14:paraId="0E722876" w14:textId="77777777" w:rsidR="0075756D" w:rsidRDefault="0075756D" w:rsidP="0075756D">
      <w:pPr>
        <w:ind w:left="66"/>
        <w:rPr>
          <w:rFonts w:ascii="Century Gothic" w:hAnsi="Century Gothic"/>
          <w:sz w:val="24"/>
          <w:szCs w:val="24"/>
          <w:lang w:val="en-US"/>
        </w:rPr>
      </w:pPr>
    </w:p>
    <w:p w14:paraId="327A4F4D" w14:textId="61B84F27" w:rsidR="001F789E" w:rsidRDefault="008C134B" w:rsidP="004F5224">
      <w:pPr>
        <w:jc w:val="center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Complete </w:t>
      </w:r>
      <w:r w:rsidR="00773BF4">
        <w:rPr>
          <w:rFonts w:ascii="Century Gothic" w:hAnsi="Century Gothic"/>
          <w:sz w:val="24"/>
          <w:szCs w:val="24"/>
          <w:lang w:val="en-US"/>
        </w:rPr>
        <w:t xml:space="preserve">Test your Knowledge </w:t>
      </w:r>
      <w:r>
        <w:rPr>
          <w:rFonts w:ascii="Century Gothic" w:hAnsi="Century Gothic"/>
          <w:sz w:val="24"/>
          <w:szCs w:val="24"/>
          <w:lang w:val="en-US"/>
        </w:rPr>
        <w:t>question</w:t>
      </w:r>
      <w:r w:rsidR="002B75E8">
        <w:rPr>
          <w:rFonts w:ascii="Century Gothic" w:hAnsi="Century Gothic"/>
          <w:sz w:val="24"/>
          <w:szCs w:val="24"/>
          <w:lang w:val="en-US"/>
        </w:rPr>
        <w:t xml:space="preserve"> </w:t>
      </w:r>
      <w:r w:rsidR="00773BF4">
        <w:rPr>
          <w:rFonts w:ascii="Century Gothic" w:hAnsi="Century Gothic"/>
          <w:sz w:val="24"/>
          <w:szCs w:val="24"/>
          <w:lang w:val="en-US"/>
        </w:rPr>
        <w:t>3 and Apply your Knowledge questions 1-2</w:t>
      </w:r>
      <w:r w:rsidR="002B75E8">
        <w:rPr>
          <w:rFonts w:ascii="Century Gothic" w:hAnsi="Century Gothic"/>
          <w:sz w:val="24"/>
          <w:szCs w:val="24"/>
          <w:lang w:val="en-US"/>
        </w:rPr>
        <w:t xml:space="preserve"> from section 3.7 of the text.</w:t>
      </w:r>
    </w:p>
    <w:p w14:paraId="7D19DA75" w14:textId="71EE48B9" w:rsidR="00FF08AA" w:rsidRDefault="004F5224" w:rsidP="004F5224">
      <w:pPr>
        <w:rPr>
          <w:rFonts w:ascii="Century Gothic" w:hAnsi="Century Gothic"/>
          <w:sz w:val="24"/>
          <w:szCs w:val="24"/>
          <w:lang w:val="en-US"/>
        </w:rPr>
      </w:pPr>
      <w:r w:rsidRPr="004F5224">
        <w:rPr>
          <w:rFonts w:ascii="Century Gothic" w:hAnsi="Century Gothic"/>
          <w:sz w:val="24"/>
          <w:szCs w:val="24"/>
          <w:lang w:val="en-US"/>
        </w:rPr>
        <w:t>3</w:t>
      </w:r>
      <w:r w:rsidR="00FF08AA">
        <w:rPr>
          <w:rFonts w:ascii="Century Gothic" w:hAnsi="Century Gothic"/>
          <w:sz w:val="24"/>
          <w:szCs w:val="24"/>
          <w:lang w:val="en-US"/>
        </w:rPr>
        <w:t xml:space="preserve">a. </w:t>
      </w:r>
      <w:r w:rsidR="00BE139B">
        <w:rPr>
          <w:rFonts w:ascii="Century Gothic" w:hAnsi="Century Gothic"/>
          <w:sz w:val="24"/>
          <w:szCs w:val="24"/>
          <w:lang w:val="en-US"/>
        </w:rPr>
        <w:t>Transportation of substances too and from the cells.</w:t>
      </w:r>
      <w:r w:rsidR="00BE139B">
        <w:rPr>
          <w:rFonts w:ascii="Century Gothic" w:hAnsi="Century Gothic"/>
          <w:sz w:val="24"/>
          <w:szCs w:val="24"/>
          <w:lang w:val="en-US"/>
        </w:rPr>
        <w:br/>
      </w:r>
      <w:r w:rsidR="00FF08AA">
        <w:rPr>
          <w:rFonts w:ascii="Century Gothic" w:hAnsi="Century Gothic"/>
          <w:sz w:val="24"/>
          <w:szCs w:val="24"/>
          <w:lang w:val="en-US"/>
        </w:rPr>
        <w:t xml:space="preserve">3b. </w:t>
      </w:r>
      <w:r w:rsidR="00BE139B">
        <w:rPr>
          <w:rFonts w:ascii="Century Gothic" w:hAnsi="Century Gothic"/>
          <w:sz w:val="24"/>
          <w:szCs w:val="24"/>
          <w:lang w:val="en-US"/>
        </w:rPr>
        <w:t>Transporting oxygen and carbon dioxide/waste.</w:t>
      </w:r>
    </w:p>
    <w:p w14:paraId="5D68C35D" w14:textId="554C34B3" w:rsidR="00BE139B" w:rsidRDefault="00E173EB" w:rsidP="00E173EB">
      <w:pPr>
        <w:rPr>
          <w:rFonts w:ascii="Century Gothic" w:hAnsi="Century Gothic"/>
          <w:sz w:val="24"/>
          <w:szCs w:val="24"/>
          <w:lang w:val="en-US"/>
        </w:rPr>
      </w:pPr>
      <w:r w:rsidRPr="00E173EB">
        <w:rPr>
          <w:rFonts w:ascii="Century Gothic" w:hAnsi="Century Gothic"/>
          <w:sz w:val="24"/>
          <w:szCs w:val="24"/>
          <w:lang w:val="en-US"/>
        </w:rPr>
        <w:t>1.</w:t>
      </w:r>
      <w:r>
        <w:rPr>
          <w:rFonts w:ascii="Century Gothic" w:hAnsi="Century Gothic"/>
          <w:sz w:val="24"/>
          <w:szCs w:val="24"/>
          <w:lang w:val="en-US"/>
        </w:rPr>
        <w:t xml:space="preserve"> Females of childbearing age, because they have periods and lose blood every month, reducing levels of iron in their blood.</w:t>
      </w:r>
    </w:p>
    <w:p w14:paraId="678EA253" w14:textId="172C8BEF" w:rsidR="00E173EB" w:rsidRPr="00E173EB" w:rsidRDefault="00E173EB" w:rsidP="00E173EB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2. </w:t>
      </w:r>
      <w:r w:rsidR="00AB259D">
        <w:rPr>
          <w:rFonts w:ascii="Century Gothic" w:hAnsi="Century Gothic"/>
          <w:sz w:val="24"/>
          <w:szCs w:val="24"/>
          <w:lang w:val="en-US"/>
        </w:rPr>
        <w:t xml:space="preserve">If an individual has </w:t>
      </w:r>
      <w:r w:rsidR="00DF16D6">
        <w:rPr>
          <w:rFonts w:ascii="Century Gothic" w:hAnsi="Century Gothic"/>
          <w:sz w:val="24"/>
          <w:szCs w:val="24"/>
          <w:lang w:val="en-US"/>
        </w:rPr>
        <w:t xml:space="preserve">a high intake of iron then there will be less cases of anaemia </w:t>
      </w:r>
      <w:r w:rsidR="001F78FC">
        <w:rPr>
          <w:rFonts w:ascii="Century Gothic" w:hAnsi="Century Gothic"/>
          <w:sz w:val="24"/>
          <w:szCs w:val="24"/>
          <w:lang w:val="en-US"/>
        </w:rPr>
        <w:t>and feelings of tiredness, which may allow the individual to spend more time with friends, increasing their leisure time</w:t>
      </w:r>
      <w:r w:rsidR="0041716C">
        <w:rPr>
          <w:rFonts w:ascii="Century Gothic" w:hAnsi="Century Gothic"/>
          <w:sz w:val="24"/>
          <w:szCs w:val="24"/>
          <w:lang w:val="en-US"/>
        </w:rPr>
        <w:t xml:space="preserve">, helping them form meaningful relationships. </w:t>
      </w:r>
      <w:bookmarkStart w:id="0" w:name="_GoBack"/>
      <w:bookmarkEnd w:id="0"/>
    </w:p>
    <w:sectPr w:rsidR="00E173EB" w:rsidRPr="00E173EB" w:rsidSect="009117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3149F"/>
    <w:multiLevelType w:val="hybridMultilevel"/>
    <w:tmpl w:val="D7E644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C308B"/>
    <w:multiLevelType w:val="hybridMultilevel"/>
    <w:tmpl w:val="483201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67A28"/>
    <w:multiLevelType w:val="hybridMultilevel"/>
    <w:tmpl w:val="0302DC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003A1"/>
    <w:multiLevelType w:val="hybridMultilevel"/>
    <w:tmpl w:val="037850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F399E"/>
    <w:multiLevelType w:val="hybridMultilevel"/>
    <w:tmpl w:val="40D0F0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34114"/>
    <w:multiLevelType w:val="hybridMultilevel"/>
    <w:tmpl w:val="B49081E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E74B60"/>
    <w:multiLevelType w:val="hybridMultilevel"/>
    <w:tmpl w:val="8F5AE5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44FBB"/>
    <w:multiLevelType w:val="hybridMultilevel"/>
    <w:tmpl w:val="0302DC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A87"/>
    <w:rsid w:val="00080F2B"/>
    <w:rsid w:val="00086977"/>
    <w:rsid w:val="000B2F13"/>
    <w:rsid w:val="000B5155"/>
    <w:rsid w:val="00121A87"/>
    <w:rsid w:val="00171998"/>
    <w:rsid w:val="001962DE"/>
    <w:rsid w:val="001F789E"/>
    <w:rsid w:val="001F78FC"/>
    <w:rsid w:val="00223D02"/>
    <w:rsid w:val="00252081"/>
    <w:rsid w:val="00262510"/>
    <w:rsid w:val="002667CB"/>
    <w:rsid w:val="002910C4"/>
    <w:rsid w:val="002B75E8"/>
    <w:rsid w:val="002E20D6"/>
    <w:rsid w:val="00300E9E"/>
    <w:rsid w:val="00332CD4"/>
    <w:rsid w:val="0034707B"/>
    <w:rsid w:val="00350645"/>
    <w:rsid w:val="003F5412"/>
    <w:rsid w:val="0041716C"/>
    <w:rsid w:val="004C4906"/>
    <w:rsid w:val="004D461D"/>
    <w:rsid w:val="004F5224"/>
    <w:rsid w:val="005035DB"/>
    <w:rsid w:val="00505E0F"/>
    <w:rsid w:val="00517546"/>
    <w:rsid w:val="0053698D"/>
    <w:rsid w:val="00586ACA"/>
    <w:rsid w:val="005A24E7"/>
    <w:rsid w:val="005B2A77"/>
    <w:rsid w:val="005C2BD8"/>
    <w:rsid w:val="005C2D4B"/>
    <w:rsid w:val="005D0427"/>
    <w:rsid w:val="00604CB1"/>
    <w:rsid w:val="00607179"/>
    <w:rsid w:val="00621EED"/>
    <w:rsid w:val="00630D00"/>
    <w:rsid w:val="00690899"/>
    <w:rsid w:val="0075756D"/>
    <w:rsid w:val="00773BF4"/>
    <w:rsid w:val="0078543F"/>
    <w:rsid w:val="008231E0"/>
    <w:rsid w:val="00826267"/>
    <w:rsid w:val="00837CD9"/>
    <w:rsid w:val="0085743A"/>
    <w:rsid w:val="0088698F"/>
    <w:rsid w:val="00890172"/>
    <w:rsid w:val="008B0BD9"/>
    <w:rsid w:val="008C134B"/>
    <w:rsid w:val="008C409B"/>
    <w:rsid w:val="0091176F"/>
    <w:rsid w:val="009207D3"/>
    <w:rsid w:val="00974265"/>
    <w:rsid w:val="009B3ABB"/>
    <w:rsid w:val="009D49E0"/>
    <w:rsid w:val="00A7376D"/>
    <w:rsid w:val="00AB259D"/>
    <w:rsid w:val="00AE048F"/>
    <w:rsid w:val="00B36B12"/>
    <w:rsid w:val="00B46341"/>
    <w:rsid w:val="00B76186"/>
    <w:rsid w:val="00B86520"/>
    <w:rsid w:val="00BE139B"/>
    <w:rsid w:val="00BE1D59"/>
    <w:rsid w:val="00C80320"/>
    <w:rsid w:val="00D26431"/>
    <w:rsid w:val="00D31D8B"/>
    <w:rsid w:val="00D75DCB"/>
    <w:rsid w:val="00DD1AC1"/>
    <w:rsid w:val="00DF16D6"/>
    <w:rsid w:val="00E137CF"/>
    <w:rsid w:val="00E173EB"/>
    <w:rsid w:val="00E23864"/>
    <w:rsid w:val="00E35AE6"/>
    <w:rsid w:val="00EE3D0D"/>
    <w:rsid w:val="00EF53FF"/>
    <w:rsid w:val="00F818F0"/>
    <w:rsid w:val="00FA6743"/>
    <w:rsid w:val="00FB7CDE"/>
    <w:rsid w:val="00FF08AA"/>
    <w:rsid w:val="00FF3AC1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64B56"/>
  <w15:chartTrackingRefBased/>
  <w15:docId w15:val="{DFC9C0B8-7268-4C5A-90FB-1B18F9DA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1A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1A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humegrammar.vic.edu.au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Rivette</dc:creator>
  <cp:keywords/>
  <dc:description/>
  <cp:lastModifiedBy>Ang Kichakov</cp:lastModifiedBy>
  <cp:revision>50</cp:revision>
  <dcterms:created xsi:type="dcterms:W3CDTF">2020-03-03T03:41:00Z</dcterms:created>
  <dcterms:modified xsi:type="dcterms:W3CDTF">2020-03-10T04:09:00Z</dcterms:modified>
</cp:coreProperties>
</file>