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2DE6" w14:textId="71B241EC" w:rsidR="00F26CAD" w:rsidRPr="000459A6" w:rsidRDefault="00F26CAD" w:rsidP="00915509">
      <w:pPr>
        <w:autoSpaceDE w:val="0"/>
        <w:autoSpaceDN w:val="0"/>
        <w:adjustRightInd w:val="0"/>
      </w:pPr>
      <w:r w:rsidRPr="000459A6">
        <w:rPr>
          <w:b/>
        </w:rPr>
        <w:t xml:space="preserve">Question </w:t>
      </w:r>
      <w:proofErr w:type="gramStart"/>
      <w:r w:rsidRPr="000459A6">
        <w:rPr>
          <w:b/>
        </w:rPr>
        <w:t xml:space="preserve">1  </w:t>
      </w:r>
      <w:r w:rsidRPr="000459A6">
        <w:t>(</w:t>
      </w:r>
      <w:proofErr w:type="gramEnd"/>
      <w:r w:rsidRPr="000459A6">
        <w:t>14 marks)</w:t>
      </w:r>
    </w:p>
    <w:p w14:paraId="24602DE7" w14:textId="77777777" w:rsidR="00F26CAD" w:rsidRPr="000459A6" w:rsidRDefault="00F26CAD" w:rsidP="00F26CAD">
      <w:pPr>
        <w:autoSpaceDE w:val="0"/>
        <w:autoSpaceDN w:val="0"/>
        <w:adjustRightInd w:val="0"/>
        <w:ind w:left="-284"/>
      </w:pPr>
    </w:p>
    <w:p w14:paraId="24602DE8" w14:textId="75872EF9" w:rsidR="00F26CAD" w:rsidRPr="000459A6" w:rsidRDefault="00F26CAD" w:rsidP="00F26CAD">
      <w:pPr>
        <w:pStyle w:val="NoSpacing"/>
        <w:ind w:left="-284"/>
        <w:rPr>
          <w:rFonts w:ascii="Times New Roman" w:hAnsi="Times New Roman" w:cs="Times New Roman"/>
          <w:sz w:val="24"/>
          <w:szCs w:val="24"/>
        </w:rPr>
      </w:pPr>
      <w:r w:rsidRPr="000459A6">
        <w:rPr>
          <w:noProof/>
          <w:sz w:val="24"/>
          <w:szCs w:val="24"/>
          <w:lang w:eastAsia="en-AU"/>
        </w:rPr>
        <w:drawing>
          <wp:anchor distT="0" distB="0" distL="114300" distR="114300" simplePos="0" relativeHeight="251662336" behindDoc="1" locked="0" layoutInCell="1" allowOverlap="1" wp14:anchorId="24602F12" wp14:editId="24602F13">
            <wp:simplePos x="0" y="0"/>
            <wp:positionH relativeFrom="column">
              <wp:posOffset>1385050</wp:posOffset>
            </wp:positionH>
            <wp:positionV relativeFrom="paragraph">
              <wp:posOffset>3108613</wp:posOffset>
            </wp:positionV>
            <wp:extent cx="3244619" cy="182254"/>
            <wp:effectExtent l="0" t="0" r="0" b="8255"/>
            <wp:wrapTight wrapText="bothSides">
              <wp:wrapPolygon edited="0">
                <wp:start x="0" y="0"/>
                <wp:lineTo x="0" y="20321"/>
                <wp:lineTo x="21435" y="20321"/>
                <wp:lineTo x="2143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4619" cy="182254"/>
                    </a:xfrm>
                    <a:prstGeom prst="rect">
                      <a:avLst/>
                    </a:prstGeom>
                  </pic:spPr>
                </pic:pic>
              </a:graphicData>
            </a:graphic>
            <wp14:sizeRelH relativeFrom="page">
              <wp14:pctWidth>0</wp14:pctWidth>
            </wp14:sizeRelH>
            <wp14:sizeRelV relativeFrom="page">
              <wp14:pctHeight>0</wp14:pctHeight>
            </wp14:sizeRelV>
          </wp:anchor>
        </w:drawing>
      </w:r>
      <w:r w:rsidRPr="000459A6">
        <w:rPr>
          <w:rFonts w:ascii="Times New Roman" w:hAnsi="Times New Roman" w:cs="Times New Roman"/>
          <w:noProof/>
          <w:sz w:val="24"/>
          <w:szCs w:val="24"/>
          <w:lang w:eastAsia="en-AU"/>
        </w:rPr>
        <w:drawing>
          <wp:anchor distT="0" distB="0" distL="114300" distR="114300" simplePos="0" relativeHeight="251661312" behindDoc="1" locked="0" layoutInCell="1" allowOverlap="1" wp14:anchorId="24602F14" wp14:editId="24602F15">
            <wp:simplePos x="0" y="0"/>
            <wp:positionH relativeFrom="margin">
              <wp:posOffset>2819400</wp:posOffset>
            </wp:positionH>
            <wp:positionV relativeFrom="paragraph">
              <wp:posOffset>336146</wp:posOffset>
            </wp:positionV>
            <wp:extent cx="3078480" cy="2857500"/>
            <wp:effectExtent l="0" t="0" r="7620" b="0"/>
            <wp:wrapTight wrapText="bothSides">
              <wp:wrapPolygon edited="0">
                <wp:start x="0" y="0"/>
                <wp:lineTo x="0" y="21456"/>
                <wp:lineTo x="21520" y="21456"/>
                <wp:lineTo x="21520"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0459A6">
        <w:rPr>
          <w:rFonts w:ascii="Times New Roman" w:hAnsi="Times New Roman" w:cs="Times New Roman"/>
          <w:noProof/>
          <w:sz w:val="24"/>
          <w:szCs w:val="24"/>
          <w:lang w:eastAsia="en-AU"/>
        </w:rPr>
        <w:drawing>
          <wp:anchor distT="0" distB="0" distL="114300" distR="114300" simplePos="0" relativeHeight="251660288" behindDoc="1" locked="0" layoutInCell="1" allowOverlap="1" wp14:anchorId="24602F16" wp14:editId="3908F15C">
            <wp:simplePos x="0" y="0"/>
            <wp:positionH relativeFrom="margin">
              <wp:posOffset>-255617</wp:posOffset>
            </wp:positionH>
            <wp:positionV relativeFrom="paragraph">
              <wp:posOffset>360103</wp:posOffset>
            </wp:positionV>
            <wp:extent cx="3108960" cy="2857500"/>
            <wp:effectExtent l="0" t="0" r="0" b="0"/>
            <wp:wrapTight wrapText="bothSides">
              <wp:wrapPolygon edited="0">
                <wp:start x="0" y="0"/>
                <wp:lineTo x="0" y="21456"/>
                <wp:lineTo x="21441" y="21456"/>
                <wp:lineTo x="21441"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0459A6">
        <w:rPr>
          <w:rFonts w:ascii="Times New Roman" w:hAnsi="Times New Roman" w:cs="Times New Roman"/>
          <w:sz w:val="24"/>
          <w:szCs w:val="24"/>
        </w:rPr>
        <w:t xml:space="preserve">The following graphs show the proportion of people with access to safe water and adequate sanitation in Australia, middle-income and low-income countries. </w:t>
      </w:r>
    </w:p>
    <w:p w14:paraId="24602DE9" w14:textId="1B3B481D" w:rsidR="00F26CAD" w:rsidRPr="00232743" w:rsidRDefault="00F26CAD" w:rsidP="00F26CAD">
      <w:pPr>
        <w:autoSpaceDE w:val="0"/>
        <w:autoSpaceDN w:val="0"/>
        <w:adjustRightInd w:val="0"/>
        <w:jc w:val="center"/>
        <w:rPr>
          <w:color w:val="000000"/>
        </w:rPr>
      </w:pPr>
    </w:p>
    <w:p w14:paraId="1FD0EB60" w14:textId="5FD2BE0F" w:rsidR="00E17478" w:rsidRDefault="00E17478" w:rsidP="00F26CAD">
      <w:pPr>
        <w:autoSpaceDE w:val="0"/>
        <w:autoSpaceDN w:val="0"/>
        <w:adjustRightInd w:val="0"/>
        <w:jc w:val="right"/>
        <w:rPr>
          <w:color w:val="000000"/>
        </w:rPr>
      </w:pPr>
    </w:p>
    <w:p w14:paraId="0A3C3716" w14:textId="77777777" w:rsidR="00E17478" w:rsidRDefault="00E17478" w:rsidP="00F26CAD">
      <w:pPr>
        <w:autoSpaceDE w:val="0"/>
        <w:autoSpaceDN w:val="0"/>
        <w:adjustRightInd w:val="0"/>
        <w:jc w:val="right"/>
        <w:rPr>
          <w:color w:val="000000"/>
        </w:rPr>
      </w:pPr>
    </w:p>
    <w:p w14:paraId="56D16D85" w14:textId="77777777" w:rsidR="00E17478" w:rsidRDefault="00E17478" w:rsidP="00F26CAD">
      <w:pPr>
        <w:autoSpaceDE w:val="0"/>
        <w:autoSpaceDN w:val="0"/>
        <w:adjustRightInd w:val="0"/>
        <w:jc w:val="right"/>
        <w:rPr>
          <w:color w:val="000000"/>
        </w:rPr>
      </w:pPr>
    </w:p>
    <w:p w14:paraId="6EC9AABE" w14:textId="77777777" w:rsidR="00E17478" w:rsidRDefault="00E17478" w:rsidP="00F26CAD">
      <w:pPr>
        <w:autoSpaceDE w:val="0"/>
        <w:autoSpaceDN w:val="0"/>
        <w:adjustRightInd w:val="0"/>
        <w:jc w:val="right"/>
        <w:rPr>
          <w:color w:val="000000"/>
        </w:rPr>
      </w:pPr>
    </w:p>
    <w:p w14:paraId="55A7553C" w14:textId="77777777" w:rsidR="00E17478" w:rsidRDefault="00E17478" w:rsidP="00F26CAD">
      <w:pPr>
        <w:autoSpaceDE w:val="0"/>
        <w:autoSpaceDN w:val="0"/>
        <w:adjustRightInd w:val="0"/>
        <w:jc w:val="right"/>
        <w:rPr>
          <w:color w:val="000000"/>
        </w:rPr>
      </w:pPr>
    </w:p>
    <w:p w14:paraId="647D3E42" w14:textId="77777777" w:rsidR="00E17478" w:rsidRDefault="00E17478" w:rsidP="00F26CAD">
      <w:pPr>
        <w:autoSpaceDE w:val="0"/>
        <w:autoSpaceDN w:val="0"/>
        <w:adjustRightInd w:val="0"/>
        <w:jc w:val="right"/>
        <w:rPr>
          <w:color w:val="000000"/>
        </w:rPr>
      </w:pPr>
    </w:p>
    <w:p w14:paraId="723C5339" w14:textId="77777777" w:rsidR="00E17478" w:rsidRDefault="00E17478" w:rsidP="00F26CAD">
      <w:pPr>
        <w:autoSpaceDE w:val="0"/>
        <w:autoSpaceDN w:val="0"/>
        <w:adjustRightInd w:val="0"/>
        <w:jc w:val="right"/>
        <w:rPr>
          <w:color w:val="000000"/>
        </w:rPr>
      </w:pPr>
    </w:p>
    <w:p w14:paraId="4B5CB264" w14:textId="77777777" w:rsidR="00E17478" w:rsidRDefault="00E17478" w:rsidP="00F26CAD">
      <w:pPr>
        <w:autoSpaceDE w:val="0"/>
        <w:autoSpaceDN w:val="0"/>
        <w:adjustRightInd w:val="0"/>
        <w:jc w:val="right"/>
        <w:rPr>
          <w:color w:val="000000"/>
        </w:rPr>
      </w:pPr>
    </w:p>
    <w:p w14:paraId="7DC9F2F0" w14:textId="77777777" w:rsidR="00E17478" w:rsidRDefault="00E17478" w:rsidP="00F26CAD">
      <w:pPr>
        <w:autoSpaceDE w:val="0"/>
        <w:autoSpaceDN w:val="0"/>
        <w:adjustRightInd w:val="0"/>
        <w:jc w:val="right"/>
        <w:rPr>
          <w:color w:val="000000"/>
        </w:rPr>
      </w:pPr>
    </w:p>
    <w:p w14:paraId="29B46BE8" w14:textId="77777777" w:rsidR="00E17478" w:rsidRDefault="00E17478" w:rsidP="00F26CAD">
      <w:pPr>
        <w:autoSpaceDE w:val="0"/>
        <w:autoSpaceDN w:val="0"/>
        <w:adjustRightInd w:val="0"/>
        <w:jc w:val="right"/>
        <w:rPr>
          <w:color w:val="000000"/>
        </w:rPr>
      </w:pPr>
    </w:p>
    <w:p w14:paraId="51FA9122" w14:textId="77777777" w:rsidR="00E17478" w:rsidRDefault="00E17478" w:rsidP="00F26CAD">
      <w:pPr>
        <w:autoSpaceDE w:val="0"/>
        <w:autoSpaceDN w:val="0"/>
        <w:adjustRightInd w:val="0"/>
        <w:jc w:val="right"/>
        <w:rPr>
          <w:color w:val="000000"/>
        </w:rPr>
      </w:pPr>
    </w:p>
    <w:p w14:paraId="25E33A3D" w14:textId="77777777" w:rsidR="00E17478" w:rsidRDefault="00E17478" w:rsidP="00F26CAD">
      <w:pPr>
        <w:autoSpaceDE w:val="0"/>
        <w:autoSpaceDN w:val="0"/>
        <w:adjustRightInd w:val="0"/>
        <w:jc w:val="right"/>
        <w:rPr>
          <w:color w:val="000000"/>
        </w:rPr>
      </w:pPr>
    </w:p>
    <w:p w14:paraId="7C0FCC25" w14:textId="77777777" w:rsidR="00E17478" w:rsidRDefault="00E17478" w:rsidP="00F26CAD">
      <w:pPr>
        <w:autoSpaceDE w:val="0"/>
        <w:autoSpaceDN w:val="0"/>
        <w:adjustRightInd w:val="0"/>
        <w:jc w:val="right"/>
        <w:rPr>
          <w:color w:val="000000"/>
        </w:rPr>
      </w:pPr>
    </w:p>
    <w:p w14:paraId="75BE2B2C" w14:textId="77777777" w:rsidR="00E17478" w:rsidRDefault="00E17478" w:rsidP="00F26CAD">
      <w:pPr>
        <w:autoSpaceDE w:val="0"/>
        <w:autoSpaceDN w:val="0"/>
        <w:adjustRightInd w:val="0"/>
        <w:jc w:val="right"/>
        <w:rPr>
          <w:color w:val="000000"/>
        </w:rPr>
      </w:pPr>
    </w:p>
    <w:p w14:paraId="473599BC" w14:textId="77777777" w:rsidR="00E17478" w:rsidRDefault="00E17478" w:rsidP="00F26CAD">
      <w:pPr>
        <w:autoSpaceDE w:val="0"/>
        <w:autoSpaceDN w:val="0"/>
        <w:adjustRightInd w:val="0"/>
        <w:jc w:val="right"/>
        <w:rPr>
          <w:color w:val="000000"/>
        </w:rPr>
      </w:pPr>
    </w:p>
    <w:p w14:paraId="2F8E9A6B" w14:textId="77777777" w:rsidR="00E17478" w:rsidRDefault="00E17478" w:rsidP="00F26CAD">
      <w:pPr>
        <w:autoSpaceDE w:val="0"/>
        <w:autoSpaceDN w:val="0"/>
        <w:adjustRightInd w:val="0"/>
        <w:jc w:val="right"/>
        <w:rPr>
          <w:color w:val="000000"/>
        </w:rPr>
      </w:pPr>
    </w:p>
    <w:p w14:paraId="3FA500C7" w14:textId="77777777" w:rsidR="00E17478" w:rsidRDefault="00E17478" w:rsidP="00F26CAD">
      <w:pPr>
        <w:autoSpaceDE w:val="0"/>
        <w:autoSpaceDN w:val="0"/>
        <w:adjustRightInd w:val="0"/>
        <w:jc w:val="right"/>
        <w:rPr>
          <w:color w:val="000000"/>
        </w:rPr>
      </w:pPr>
    </w:p>
    <w:p w14:paraId="16FDF92B" w14:textId="77777777" w:rsidR="00E17478" w:rsidRDefault="00E17478" w:rsidP="00F26CAD">
      <w:pPr>
        <w:autoSpaceDE w:val="0"/>
        <w:autoSpaceDN w:val="0"/>
        <w:adjustRightInd w:val="0"/>
        <w:jc w:val="right"/>
        <w:rPr>
          <w:color w:val="000000"/>
        </w:rPr>
      </w:pPr>
    </w:p>
    <w:p w14:paraId="24602DEA" w14:textId="381BA10B" w:rsidR="00F26CAD" w:rsidRDefault="00F26CAD" w:rsidP="00F26CAD">
      <w:pPr>
        <w:autoSpaceDE w:val="0"/>
        <w:autoSpaceDN w:val="0"/>
        <w:adjustRightInd w:val="0"/>
        <w:jc w:val="right"/>
        <w:rPr>
          <w:color w:val="000000"/>
        </w:rPr>
      </w:pPr>
      <w:r>
        <w:rPr>
          <w:color w:val="000000"/>
        </w:rPr>
        <w:t xml:space="preserve">Source: Adapted from WHO data, 2018. </w:t>
      </w:r>
    </w:p>
    <w:p w14:paraId="24602DEB" w14:textId="77777777" w:rsidR="00F26CAD" w:rsidRPr="00232743" w:rsidRDefault="00F26CAD" w:rsidP="00F26CAD">
      <w:pPr>
        <w:autoSpaceDE w:val="0"/>
        <w:autoSpaceDN w:val="0"/>
        <w:adjustRightInd w:val="0"/>
        <w:jc w:val="right"/>
        <w:rPr>
          <w:color w:val="000000"/>
        </w:rPr>
      </w:pPr>
    </w:p>
    <w:p w14:paraId="24602DEC" w14:textId="77777777" w:rsidR="00F26CAD" w:rsidRPr="00B2206C" w:rsidRDefault="00F26CAD" w:rsidP="00F26CAD">
      <w:pPr>
        <w:pStyle w:val="ListParagraph"/>
        <w:numPr>
          <w:ilvl w:val="0"/>
          <w:numId w:val="2"/>
        </w:numPr>
        <w:autoSpaceDE w:val="0"/>
        <w:autoSpaceDN w:val="0"/>
        <w:adjustRightInd w:val="0"/>
        <w:ind w:left="0" w:right="-755" w:hanging="284"/>
        <w:rPr>
          <w:color w:val="000000"/>
        </w:rPr>
      </w:pPr>
      <w:r w:rsidRPr="00B2206C">
        <w:rPr>
          <w:color w:val="000000"/>
        </w:rPr>
        <w:t xml:space="preserve">Briefly outline the difference between clean water and sanitation. </w:t>
      </w:r>
      <w:r w:rsidRPr="00B2206C">
        <w:rPr>
          <w:color w:val="000000"/>
        </w:rPr>
        <w:tab/>
      </w:r>
      <w:r w:rsidRPr="00B2206C">
        <w:rPr>
          <w:color w:val="000000"/>
        </w:rPr>
        <w:tab/>
        <w:t xml:space="preserve">  </w:t>
      </w:r>
      <w:r>
        <w:rPr>
          <w:color w:val="000000"/>
        </w:rPr>
        <w:t xml:space="preserve">                                </w:t>
      </w:r>
      <w:r w:rsidRPr="00B2206C">
        <w:rPr>
          <w:color w:val="000000"/>
        </w:rPr>
        <w:t>2 marks</w:t>
      </w:r>
    </w:p>
    <w:p w14:paraId="24602DED" w14:textId="77777777" w:rsidR="00F26CAD" w:rsidRDefault="00F26CAD" w:rsidP="00F26CAD">
      <w:pPr>
        <w:autoSpaceDE w:val="0"/>
        <w:autoSpaceDN w:val="0"/>
        <w:adjustRightInd w:val="0"/>
        <w:ind w:right="-755" w:hanging="284"/>
        <w:rPr>
          <w:color w:val="000000"/>
        </w:rPr>
      </w:pPr>
    </w:p>
    <w:p w14:paraId="58E164D4" w14:textId="698D67F8" w:rsidR="0061468C" w:rsidRPr="00826FE7" w:rsidRDefault="00515982" w:rsidP="00826FE7">
      <w:pPr>
        <w:spacing w:line="360" w:lineRule="auto"/>
        <w:rPr>
          <w:rFonts w:ascii="Segoe UI Light" w:hAnsi="Segoe UI Light" w:cs="Segoe UI Light"/>
          <w:sz w:val="20"/>
          <w:szCs w:val="20"/>
        </w:rPr>
      </w:pPr>
      <w:r w:rsidRPr="00826FE7">
        <w:rPr>
          <w:rStyle w:val="termtext"/>
          <w:rFonts w:ascii="Segoe UI Light" w:hAnsi="Segoe UI Light" w:cs="Segoe UI Light"/>
          <w:sz w:val="20"/>
          <w:szCs w:val="20"/>
        </w:rPr>
        <w:t>clean water refers to water that is safe for human consumption and is not contaminated with disease causing pathogens such as bacteria and viruses, or chemicals such as lead and mercury</w:t>
      </w:r>
      <w:r w:rsidR="00B214A1" w:rsidRPr="00826FE7">
        <w:rPr>
          <w:rStyle w:val="termtext"/>
          <w:rFonts w:ascii="Segoe UI Light" w:hAnsi="Segoe UI Light" w:cs="Segoe UI Light"/>
          <w:sz w:val="20"/>
          <w:szCs w:val="20"/>
        </w:rPr>
        <w:t xml:space="preserve">. </w:t>
      </w:r>
      <w:r w:rsidR="00826FE7" w:rsidRPr="00826FE7">
        <w:rPr>
          <w:rFonts w:ascii="Segoe UI Light" w:hAnsi="Segoe UI Light" w:cs="Segoe UI Light"/>
          <w:sz w:val="20"/>
          <w:szCs w:val="20"/>
        </w:rPr>
        <w:t>whereas</w:t>
      </w:r>
      <w:r w:rsidR="00B214A1" w:rsidRPr="00826FE7">
        <w:rPr>
          <w:rFonts w:ascii="Segoe UI Light" w:hAnsi="Segoe UI Light" w:cs="Segoe UI Light"/>
          <w:sz w:val="20"/>
          <w:szCs w:val="20"/>
        </w:rPr>
        <w:t xml:space="preserve"> </w:t>
      </w:r>
      <w:r w:rsidRPr="00826FE7">
        <w:rPr>
          <w:rStyle w:val="termtext"/>
          <w:rFonts w:ascii="Segoe UI Light" w:hAnsi="Segoe UI Light" w:cs="Segoe UI Light"/>
          <w:sz w:val="20"/>
          <w:szCs w:val="20"/>
        </w:rPr>
        <w:t>sanitation</w:t>
      </w:r>
      <w:r w:rsidR="00B214A1" w:rsidRPr="00826FE7">
        <w:rPr>
          <w:rStyle w:val="termtext"/>
          <w:rFonts w:ascii="Segoe UI Light" w:hAnsi="Segoe UI Light" w:cs="Segoe UI Light"/>
          <w:sz w:val="20"/>
          <w:szCs w:val="20"/>
        </w:rPr>
        <w:t xml:space="preserve"> </w:t>
      </w:r>
      <w:r w:rsidRPr="00826FE7">
        <w:rPr>
          <w:rStyle w:val="termtext"/>
          <w:rFonts w:ascii="Segoe UI Light" w:hAnsi="Segoe UI Light" w:cs="Segoe UI Light"/>
          <w:sz w:val="20"/>
          <w:szCs w:val="20"/>
        </w:rPr>
        <w:t xml:space="preserve">refers to </w:t>
      </w:r>
      <w:r w:rsidR="00830B9D" w:rsidRPr="00826FE7">
        <w:rPr>
          <w:rStyle w:val="termtext"/>
          <w:rFonts w:ascii="Segoe UI Light" w:hAnsi="Segoe UI Light" w:cs="Segoe UI Light"/>
          <w:sz w:val="20"/>
          <w:szCs w:val="20"/>
        </w:rPr>
        <w:t>the process of eliminating contact between humans and hazardous wastes</w:t>
      </w:r>
      <w:r w:rsidR="00826FE7" w:rsidRPr="00826FE7">
        <w:rPr>
          <w:rStyle w:val="termtext"/>
          <w:rFonts w:ascii="Segoe UI Light" w:hAnsi="Segoe UI Light" w:cs="Segoe UI Light"/>
          <w:sz w:val="20"/>
          <w:szCs w:val="20"/>
        </w:rPr>
        <w:t xml:space="preserve"> such as domestic </w:t>
      </w:r>
      <w:r w:rsidR="007D616F" w:rsidRPr="00826FE7">
        <w:rPr>
          <w:rStyle w:val="termtext"/>
          <w:rFonts w:ascii="Segoe UI Light" w:hAnsi="Segoe UI Light" w:cs="Segoe UI Light"/>
          <w:sz w:val="20"/>
          <w:szCs w:val="20"/>
        </w:rPr>
        <w:t>animal faeces and urine</w:t>
      </w:r>
      <w:r w:rsidR="007D616F">
        <w:rPr>
          <w:rStyle w:val="termtext"/>
          <w:rFonts w:ascii="Segoe UI Light" w:hAnsi="Segoe UI Light" w:cs="Segoe UI Light"/>
          <w:sz w:val="20"/>
          <w:szCs w:val="20"/>
        </w:rPr>
        <w:t xml:space="preserve">, </w:t>
      </w:r>
      <w:r w:rsidR="00826FE7" w:rsidRPr="00826FE7">
        <w:rPr>
          <w:rStyle w:val="termtext"/>
          <w:rFonts w:ascii="Segoe UI Light" w:hAnsi="Segoe UI Light" w:cs="Segoe UI Light"/>
          <w:sz w:val="20"/>
          <w:szCs w:val="20"/>
        </w:rPr>
        <w:t xml:space="preserve">wastewater, industrial and agricultural wastes. </w:t>
      </w:r>
    </w:p>
    <w:p w14:paraId="24602DF2" w14:textId="77777777" w:rsidR="00F26CAD" w:rsidRDefault="00F26CAD" w:rsidP="00F26CAD">
      <w:pPr>
        <w:pStyle w:val="ListParagraph"/>
        <w:numPr>
          <w:ilvl w:val="0"/>
          <w:numId w:val="2"/>
        </w:numPr>
        <w:autoSpaceDE w:val="0"/>
        <w:autoSpaceDN w:val="0"/>
        <w:adjustRightInd w:val="0"/>
        <w:ind w:left="0" w:right="-755" w:hanging="284"/>
        <w:rPr>
          <w:color w:val="000000"/>
        </w:rPr>
      </w:pPr>
      <w:r w:rsidRPr="00B2206C">
        <w:rPr>
          <w:color w:val="000000"/>
        </w:rPr>
        <w:t xml:space="preserve">Using data, outline the difference in the proportion of those who have access to safe water and </w:t>
      </w:r>
    </w:p>
    <w:p w14:paraId="24602DF3" w14:textId="77777777" w:rsidR="00F26CAD" w:rsidRPr="00B2206C" w:rsidRDefault="00F26CAD" w:rsidP="00F26CAD">
      <w:pPr>
        <w:pStyle w:val="ListParagraph"/>
        <w:autoSpaceDE w:val="0"/>
        <w:autoSpaceDN w:val="0"/>
        <w:adjustRightInd w:val="0"/>
        <w:ind w:left="0" w:right="-755"/>
        <w:rPr>
          <w:color w:val="000000"/>
        </w:rPr>
      </w:pPr>
      <w:r w:rsidRPr="00B2206C">
        <w:rPr>
          <w:color w:val="000000"/>
        </w:rPr>
        <w:t>adequate sanitation between Australia</w:t>
      </w:r>
      <w:r>
        <w:rPr>
          <w:color w:val="000000"/>
        </w:rPr>
        <w:t>, middle- and low-income countries.</w:t>
      </w:r>
      <w:r w:rsidRPr="00B2206C">
        <w:rPr>
          <w:color w:val="000000"/>
        </w:rPr>
        <w:tab/>
      </w:r>
      <w:r>
        <w:rPr>
          <w:color w:val="000000"/>
        </w:rPr>
        <w:t xml:space="preserve">                                  </w:t>
      </w:r>
      <w:r w:rsidRPr="00B2206C">
        <w:rPr>
          <w:color w:val="000000"/>
        </w:rPr>
        <w:t>4 marks</w:t>
      </w:r>
    </w:p>
    <w:p w14:paraId="24602DF4" w14:textId="77777777" w:rsidR="00F26CAD" w:rsidRDefault="00F26CAD" w:rsidP="00F26CAD">
      <w:pPr>
        <w:autoSpaceDE w:val="0"/>
        <w:autoSpaceDN w:val="0"/>
        <w:adjustRightInd w:val="0"/>
        <w:rPr>
          <w:color w:val="000000"/>
        </w:rPr>
      </w:pPr>
    </w:p>
    <w:p w14:paraId="7B5101AF" w14:textId="52B11F55" w:rsidR="0061468C" w:rsidRPr="000A6E18" w:rsidRDefault="00B170EF" w:rsidP="007F5626">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the access to </w:t>
      </w:r>
      <w:r w:rsidR="007C2F7B" w:rsidRPr="007C2F7B">
        <w:rPr>
          <w:rFonts w:ascii="Segoe UI Light" w:hAnsi="Segoe UI Light" w:cs="Segoe UI Light"/>
          <w:color w:val="000000" w:themeColor="text1"/>
          <w:sz w:val="20"/>
          <w:szCs w:val="20"/>
          <w:lang w:eastAsia="en-AU"/>
        </w:rPr>
        <w:t>safe</w:t>
      </w:r>
      <w:r w:rsidR="007C2F7B">
        <w:rPr>
          <w:rFonts w:ascii="Segoe UI Light" w:hAnsi="Segoe UI Light" w:cs="Segoe UI Light"/>
          <w:color w:val="000000" w:themeColor="text1"/>
          <w:sz w:val="20"/>
          <w:szCs w:val="20"/>
          <w:lang w:eastAsia="en-AU"/>
        </w:rPr>
        <w:t xml:space="preserve"> water and </w:t>
      </w:r>
      <w:r w:rsidR="00CC1A34">
        <w:rPr>
          <w:rFonts w:ascii="Segoe UI Light" w:hAnsi="Segoe UI Light" w:cs="Segoe UI Light"/>
          <w:color w:val="000000" w:themeColor="text1"/>
          <w:sz w:val="20"/>
          <w:szCs w:val="20"/>
          <w:lang w:eastAsia="en-AU"/>
        </w:rPr>
        <w:t xml:space="preserve">adequate </w:t>
      </w:r>
      <w:r w:rsidR="007C2F7B">
        <w:rPr>
          <w:rFonts w:ascii="Segoe UI Light" w:hAnsi="Segoe UI Light" w:cs="Segoe UI Light"/>
          <w:color w:val="000000" w:themeColor="text1"/>
          <w:sz w:val="20"/>
          <w:szCs w:val="20"/>
          <w:lang w:eastAsia="en-AU"/>
        </w:rPr>
        <w:t xml:space="preserve">sanitation </w:t>
      </w:r>
      <w:r>
        <w:rPr>
          <w:rFonts w:ascii="Segoe UI Light" w:hAnsi="Segoe UI Light" w:cs="Segoe UI Light"/>
          <w:color w:val="000000" w:themeColor="text1"/>
          <w:sz w:val="20"/>
          <w:szCs w:val="20"/>
          <w:lang w:eastAsia="en-AU"/>
        </w:rPr>
        <w:t xml:space="preserve">is responsible for a large proportion of the variations in health and wellbeing between </w:t>
      </w:r>
      <w:r w:rsidR="007F5626">
        <w:rPr>
          <w:rFonts w:ascii="Segoe UI Light" w:hAnsi="Segoe UI Light" w:cs="Segoe UI Light"/>
          <w:color w:val="000000" w:themeColor="text1"/>
          <w:sz w:val="20"/>
          <w:szCs w:val="20"/>
          <w:lang w:eastAsia="en-AU"/>
        </w:rPr>
        <w:t>australia, middle-, and low-income countries</w:t>
      </w:r>
      <w:r>
        <w:rPr>
          <w:rFonts w:ascii="Segoe UI Light" w:hAnsi="Segoe UI Light" w:cs="Segoe UI Light"/>
          <w:color w:val="000000" w:themeColor="text1"/>
          <w:sz w:val="20"/>
          <w:szCs w:val="20"/>
          <w:lang w:eastAsia="en-AU"/>
        </w:rPr>
        <w:t xml:space="preserve">. </w:t>
      </w:r>
      <w:r w:rsidR="00E837D4">
        <w:rPr>
          <w:rFonts w:ascii="Segoe UI Light" w:hAnsi="Segoe UI Light" w:cs="Segoe UI Light"/>
          <w:color w:val="000000" w:themeColor="text1"/>
          <w:sz w:val="20"/>
          <w:szCs w:val="20"/>
          <w:lang w:eastAsia="en-AU"/>
        </w:rPr>
        <w:t>in 2006</w:t>
      </w:r>
      <w:r w:rsidR="00275AFE">
        <w:rPr>
          <w:rFonts w:ascii="Segoe UI Light" w:hAnsi="Segoe UI Light" w:cs="Segoe UI Light"/>
          <w:color w:val="000000" w:themeColor="text1"/>
          <w:sz w:val="20"/>
          <w:szCs w:val="20"/>
          <w:lang w:eastAsia="en-AU"/>
        </w:rPr>
        <w:t xml:space="preserve">, 48% of those in low-income countries had </w:t>
      </w:r>
      <w:r w:rsidR="00F671CB">
        <w:rPr>
          <w:rFonts w:ascii="Segoe UI Light" w:hAnsi="Segoe UI Light" w:cs="Segoe UI Light"/>
          <w:color w:val="000000" w:themeColor="text1"/>
          <w:sz w:val="20"/>
          <w:szCs w:val="20"/>
          <w:lang w:eastAsia="en-AU"/>
        </w:rPr>
        <w:t xml:space="preserve">less </w:t>
      </w:r>
      <w:r w:rsidR="00275AFE">
        <w:rPr>
          <w:rFonts w:ascii="Segoe UI Light" w:hAnsi="Segoe UI Light" w:cs="Segoe UI Light"/>
          <w:color w:val="000000" w:themeColor="text1"/>
          <w:sz w:val="20"/>
          <w:szCs w:val="20"/>
          <w:lang w:eastAsia="en-AU"/>
        </w:rPr>
        <w:t>access to safe water</w:t>
      </w:r>
      <w:r w:rsidR="001D6527">
        <w:rPr>
          <w:rFonts w:ascii="Segoe UI Light" w:hAnsi="Segoe UI Light" w:cs="Segoe UI Light"/>
          <w:color w:val="000000" w:themeColor="text1"/>
          <w:sz w:val="20"/>
          <w:szCs w:val="20"/>
          <w:lang w:eastAsia="en-AU"/>
        </w:rPr>
        <w:t xml:space="preserve"> </w:t>
      </w:r>
      <w:r w:rsidR="00CF3864">
        <w:rPr>
          <w:rFonts w:ascii="Segoe UI Light" w:hAnsi="Segoe UI Light" w:cs="Segoe UI Light"/>
          <w:color w:val="000000" w:themeColor="text1"/>
          <w:sz w:val="20"/>
          <w:szCs w:val="20"/>
          <w:lang w:eastAsia="en-AU"/>
        </w:rPr>
        <w:t>than those in</w:t>
      </w:r>
      <w:r w:rsidR="00275AFE">
        <w:rPr>
          <w:rFonts w:ascii="Segoe UI Light" w:hAnsi="Segoe UI Light" w:cs="Segoe UI Light"/>
          <w:color w:val="000000" w:themeColor="text1"/>
          <w:sz w:val="20"/>
          <w:szCs w:val="20"/>
          <w:lang w:eastAsia="en-AU"/>
        </w:rPr>
        <w:t xml:space="preserve"> </w:t>
      </w:r>
      <w:r w:rsidR="00987653">
        <w:rPr>
          <w:rFonts w:ascii="Segoe UI Light" w:hAnsi="Segoe UI Light" w:cs="Segoe UI Light"/>
          <w:color w:val="000000" w:themeColor="text1"/>
          <w:sz w:val="20"/>
          <w:szCs w:val="20"/>
          <w:lang w:eastAsia="en-AU"/>
        </w:rPr>
        <w:t>middle-</w:t>
      </w:r>
      <w:r w:rsidR="00702D64">
        <w:rPr>
          <w:rFonts w:ascii="Segoe UI Light" w:hAnsi="Segoe UI Light" w:cs="Segoe UI Light"/>
          <w:color w:val="000000" w:themeColor="text1"/>
          <w:sz w:val="20"/>
          <w:szCs w:val="20"/>
          <w:lang w:eastAsia="en-AU"/>
        </w:rPr>
        <w:t xml:space="preserve"> and high-</w:t>
      </w:r>
      <w:r w:rsidR="00987653">
        <w:rPr>
          <w:rFonts w:ascii="Segoe UI Light" w:hAnsi="Segoe UI Light" w:cs="Segoe UI Light"/>
          <w:color w:val="000000" w:themeColor="text1"/>
          <w:sz w:val="20"/>
          <w:szCs w:val="20"/>
          <w:lang w:eastAsia="en-AU"/>
        </w:rPr>
        <w:t xml:space="preserve">income countries </w:t>
      </w:r>
      <w:r w:rsidR="00702D64">
        <w:rPr>
          <w:rFonts w:ascii="Segoe UI Light" w:hAnsi="Segoe UI Light" w:cs="Segoe UI Light"/>
          <w:color w:val="000000" w:themeColor="text1"/>
          <w:sz w:val="20"/>
          <w:szCs w:val="20"/>
          <w:lang w:eastAsia="en-AU"/>
        </w:rPr>
        <w:t>(</w:t>
      </w:r>
      <w:r w:rsidR="00987653">
        <w:rPr>
          <w:rFonts w:ascii="Segoe UI Light" w:hAnsi="Segoe UI Light" w:cs="Segoe UI Light"/>
          <w:color w:val="000000" w:themeColor="text1"/>
          <w:sz w:val="20"/>
          <w:szCs w:val="20"/>
          <w:lang w:eastAsia="en-AU"/>
        </w:rPr>
        <w:t>australia</w:t>
      </w:r>
      <w:r w:rsidR="00702D64">
        <w:rPr>
          <w:rFonts w:ascii="Segoe UI Light" w:hAnsi="Segoe UI Light" w:cs="Segoe UI Light"/>
          <w:color w:val="000000" w:themeColor="text1"/>
          <w:sz w:val="20"/>
          <w:szCs w:val="20"/>
          <w:lang w:eastAsia="en-AU"/>
        </w:rPr>
        <w:t>)</w:t>
      </w:r>
      <w:r w:rsidR="00987653">
        <w:rPr>
          <w:rFonts w:ascii="Segoe UI Light" w:hAnsi="Segoe UI Light" w:cs="Segoe UI Light"/>
          <w:color w:val="000000" w:themeColor="text1"/>
          <w:sz w:val="20"/>
          <w:szCs w:val="20"/>
          <w:lang w:eastAsia="en-AU"/>
        </w:rPr>
        <w:t xml:space="preserve"> </w:t>
      </w:r>
      <w:r w:rsidR="00702D64">
        <w:rPr>
          <w:rFonts w:ascii="Segoe UI Light" w:hAnsi="Segoe UI Light" w:cs="Segoe UI Light"/>
          <w:color w:val="000000" w:themeColor="text1"/>
          <w:sz w:val="20"/>
          <w:szCs w:val="20"/>
          <w:lang w:eastAsia="en-AU"/>
        </w:rPr>
        <w:t>highlighting</w:t>
      </w:r>
      <w:r w:rsidR="00987653">
        <w:rPr>
          <w:rFonts w:ascii="Segoe UI Light" w:hAnsi="Segoe UI Light" w:cs="Segoe UI Light"/>
          <w:color w:val="000000" w:themeColor="text1"/>
          <w:sz w:val="20"/>
          <w:szCs w:val="20"/>
          <w:lang w:eastAsia="en-AU"/>
        </w:rPr>
        <w:t xml:space="preserve"> </w:t>
      </w:r>
      <w:r w:rsidR="00B634C8">
        <w:rPr>
          <w:rFonts w:ascii="Segoe UI Light" w:hAnsi="Segoe UI Light" w:cs="Segoe UI Light"/>
          <w:color w:val="000000" w:themeColor="text1"/>
          <w:sz w:val="20"/>
          <w:szCs w:val="20"/>
          <w:lang w:eastAsia="en-AU"/>
        </w:rPr>
        <w:t xml:space="preserve">over </w:t>
      </w:r>
      <w:r w:rsidR="00987653">
        <w:rPr>
          <w:rFonts w:ascii="Segoe UI Light" w:hAnsi="Segoe UI Light" w:cs="Segoe UI Light"/>
          <w:color w:val="000000" w:themeColor="text1"/>
          <w:sz w:val="20"/>
          <w:szCs w:val="20"/>
          <w:lang w:eastAsia="en-AU"/>
        </w:rPr>
        <w:t>85%</w:t>
      </w:r>
      <w:r w:rsidR="00B634C8">
        <w:rPr>
          <w:rFonts w:ascii="Segoe UI Light" w:hAnsi="Segoe UI Light" w:cs="Segoe UI Light"/>
          <w:color w:val="000000" w:themeColor="text1"/>
          <w:sz w:val="20"/>
          <w:szCs w:val="20"/>
          <w:lang w:eastAsia="en-AU"/>
        </w:rPr>
        <w:t>, fortunately in 2015 the access to safe water in low-income countries had increased at 53%</w:t>
      </w:r>
      <w:r w:rsidR="001D6527">
        <w:rPr>
          <w:rFonts w:ascii="Segoe UI Light" w:hAnsi="Segoe UI Light" w:cs="Segoe UI Light"/>
          <w:color w:val="000000" w:themeColor="text1"/>
          <w:sz w:val="20"/>
          <w:szCs w:val="20"/>
          <w:lang w:eastAsia="en-AU"/>
        </w:rPr>
        <w:t>.</w:t>
      </w:r>
      <w:r w:rsidR="009D4E72">
        <w:rPr>
          <w:rFonts w:ascii="Segoe UI Light" w:hAnsi="Segoe UI Light" w:cs="Segoe UI Light"/>
          <w:color w:val="000000" w:themeColor="text1"/>
          <w:sz w:val="20"/>
          <w:szCs w:val="20"/>
          <w:lang w:eastAsia="en-AU"/>
        </w:rPr>
        <w:t xml:space="preserve"> </w:t>
      </w:r>
      <w:r w:rsidR="0046284E">
        <w:rPr>
          <w:rFonts w:ascii="Segoe UI Light" w:hAnsi="Segoe UI Light" w:cs="Segoe UI Light"/>
          <w:color w:val="000000" w:themeColor="text1"/>
          <w:sz w:val="20"/>
          <w:szCs w:val="20"/>
          <w:lang w:eastAsia="en-AU"/>
        </w:rPr>
        <w:t>typically,</w:t>
      </w:r>
      <w:r w:rsidR="00702D64">
        <w:rPr>
          <w:rFonts w:ascii="Segoe UI Light" w:hAnsi="Segoe UI Light" w:cs="Segoe UI Light"/>
          <w:color w:val="000000" w:themeColor="text1"/>
          <w:sz w:val="20"/>
          <w:szCs w:val="20"/>
          <w:lang w:eastAsia="en-AU"/>
        </w:rPr>
        <w:t xml:space="preserve"> </w:t>
      </w:r>
      <w:r w:rsidR="00D51C2F">
        <w:rPr>
          <w:rFonts w:ascii="Segoe UI Light" w:hAnsi="Segoe UI Light" w:cs="Segoe UI Light"/>
          <w:color w:val="000000" w:themeColor="text1"/>
          <w:sz w:val="20"/>
          <w:szCs w:val="20"/>
          <w:lang w:eastAsia="en-AU"/>
        </w:rPr>
        <w:t>women and children</w:t>
      </w:r>
      <w:r w:rsidR="00E2216D">
        <w:rPr>
          <w:rFonts w:ascii="Segoe UI Light" w:hAnsi="Segoe UI Light" w:cs="Segoe UI Light"/>
          <w:color w:val="000000" w:themeColor="text1"/>
          <w:sz w:val="20"/>
          <w:szCs w:val="20"/>
          <w:lang w:eastAsia="en-AU"/>
        </w:rPr>
        <w:t xml:space="preserve"> in these countries </w:t>
      </w:r>
      <w:r w:rsidR="00D51C2F">
        <w:rPr>
          <w:rFonts w:ascii="Segoe UI Light" w:hAnsi="Segoe UI Light" w:cs="Segoe UI Light"/>
          <w:color w:val="000000" w:themeColor="text1"/>
          <w:sz w:val="20"/>
          <w:szCs w:val="20"/>
          <w:lang w:eastAsia="en-AU"/>
        </w:rPr>
        <w:t xml:space="preserve">may spend most of their time travelling to collect water compared to people in middle- and high-income countries already </w:t>
      </w:r>
      <w:r w:rsidR="009D4E72">
        <w:rPr>
          <w:rFonts w:ascii="Segoe UI Light" w:hAnsi="Segoe UI Light" w:cs="Segoe UI Light"/>
          <w:color w:val="000000" w:themeColor="text1"/>
          <w:sz w:val="20"/>
          <w:szCs w:val="20"/>
          <w:lang w:eastAsia="en-AU"/>
        </w:rPr>
        <w:t xml:space="preserve">having access to water sources that is </w:t>
      </w:r>
      <w:r w:rsidR="00D51C2F">
        <w:rPr>
          <w:rFonts w:ascii="Segoe UI Light" w:hAnsi="Segoe UI Light" w:cs="Segoe UI Light"/>
          <w:color w:val="000000" w:themeColor="text1"/>
          <w:sz w:val="20"/>
          <w:szCs w:val="20"/>
          <w:lang w:eastAsia="en-AU"/>
        </w:rPr>
        <w:t>clean and able to be used for drinking, crops, and livestock</w:t>
      </w:r>
      <w:r w:rsidR="00D07E55">
        <w:rPr>
          <w:rFonts w:ascii="Segoe UI Light" w:hAnsi="Segoe UI Light" w:cs="Segoe UI Light"/>
          <w:color w:val="000000" w:themeColor="text1"/>
          <w:sz w:val="20"/>
          <w:szCs w:val="20"/>
          <w:lang w:eastAsia="en-AU"/>
        </w:rPr>
        <w:t xml:space="preserve">. </w:t>
      </w:r>
      <w:r w:rsidR="004C0714">
        <w:rPr>
          <w:rFonts w:ascii="Segoe UI Light" w:hAnsi="Segoe UI Light" w:cs="Segoe UI Light"/>
          <w:color w:val="000000" w:themeColor="text1"/>
          <w:sz w:val="20"/>
          <w:szCs w:val="20"/>
          <w:lang w:eastAsia="en-AU"/>
        </w:rPr>
        <w:t xml:space="preserve">the access to adequate sanitation in australia was 100% from 2006 until 2015, whereas the proportion of those who had access in low-, and middle-income countries increased by 3% throughout nine years. </w:t>
      </w:r>
    </w:p>
    <w:p w14:paraId="24602DFF" w14:textId="77777777" w:rsidR="00F26CAD" w:rsidRDefault="00F26CAD" w:rsidP="00F26CAD">
      <w:pPr>
        <w:pStyle w:val="ListParagraph"/>
        <w:numPr>
          <w:ilvl w:val="0"/>
          <w:numId w:val="2"/>
        </w:numPr>
        <w:autoSpaceDE w:val="0"/>
        <w:autoSpaceDN w:val="0"/>
        <w:adjustRightInd w:val="0"/>
        <w:ind w:left="0" w:right="-755" w:hanging="284"/>
        <w:rPr>
          <w:color w:val="000000"/>
        </w:rPr>
      </w:pPr>
      <w:r>
        <w:rPr>
          <w:color w:val="000000"/>
        </w:rPr>
        <w:t>Briefly explain</w:t>
      </w:r>
      <w:r w:rsidRPr="00F87715">
        <w:rPr>
          <w:color w:val="000000"/>
        </w:rPr>
        <w:t xml:space="preserve"> how th</w:t>
      </w:r>
      <w:r>
        <w:rPr>
          <w:color w:val="000000"/>
        </w:rPr>
        <w:t xml:space="preserve">e differences outlined in part b. </w:t>
      </w:r>
      <w:r w:rsidRPr="00F87715">
        <w:rPr>
          <w:color w:val="000000"/>
        </w:rPr>
        <w:t xml:space="preserve">contribute to differences in health status between </w:t>
      </w:r>
    </w:p>
    <w:p w14:paraId="220BF0B2" w14:textId="20537E28" w:rsidR="00B64313" w:rsidRDefault="00F26CAD" w:rsidP="00B64313">
      <w:pPr>
        <w:pStyle w:val="ListParagraph"/>
        <w:autoSpaceDE w:val="0"/>
        <w:autoSpaceDN w:val="0"/>
        <w:adjustRightInd w:val="0"/>
        <w:ind w:left="0" w:right="-755"/>
        <w:rPr>
          <w:color w:val="000000"/>
        </w:rPr>
      </w:pPr>
      <w:r w:rsidRPr="00F87715">
        <w:rPr>
          <w:color w:val="000000"/>
        </w:rPr>
        <w:t>Australia and low-income countries.</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F87715">
        <w:rPr>
          <w:color w:val="000000"/>
        </w:rPr>
        <w:t>4 marks</w:t>
      </w:r>
    </w:p>
    <w:p w14:paraId="7A5C1902" w14:textId="46117BF9" w:rsidR="00B64313" w:rsidRPr="00B64313" w:rsidRDefault="00B64313" w:rsidP="00B64313">
      <w:pPr>
        <w:spacing w:line="360" w:lineRule="auto"/>
        <w:ind w:right="-187"/>
        <w:rPr>
          <w:rFonts w:ascii="Segoe UI Light" w:hAnsi="Segoe UI Light" w:cs="Segoe UI Light"/>
          <w:color w:val="000000" w:themeColor="text1"/>
          <w:sz w:val="20"/>
          <w:szCs w:val="20"/>
          <w:lang w:eastAsia="en-AU"/>
        </w:rPr>
      </w:pPr>
      <w:r w:rsidRPr="00B64313">
        <w:rPr>
          <w:rFonts w:ascii="Segoe UI Light" w:hAnsi="Segoe UI Light" w:cs="Segoe UI Light"/>
          <w:color w:val="000000" w:themeColor="text1"/>
          <w:sz w:val="20"/>
          <w:szCs w:val="20"/>
          <w:lang w:eastAsia="en-AU"/>
        </w:rPr>
        <w:t xml:space="preserve">communities in low-income countries are more likely to have a lack of access to safe water while also suffering from the lack of sanitation systems, this contributes to an increased burden of disease and lower health status within the community. those living in remote and rural areas may experience a lack of access to safe water and sanitation as the infrastructure required to provide these resources is often unavailable. </w:t>
      </w:r>
      <w:r w:rsidR="004120BA">
        <w:rPr>
          <w:rFonts w:ascii="Segoe UI Light" w:hAnsi="Segoe UI Light" w:cs="Segoe UI Light"/>
          <w:color w:val="000000" w:themeColor="text1"/>
          <w:sz w:val="20"/>
          <w:szCs w:val="20"/>
          <w:lang w:eastAsia="en-AU"/>
        </w:rPr>
        <w:t>t</w:t>
      </w:r>
      <w:r w:rsidR="0084157D">
        <w:rPr>
          <w:rFonts w:ascii="Segoe UI Light" w:hAnsi="Segoe UI Light" w:cs="Segoe UI Light"/>
          <w:color w:val="000000" w:themeColor="text1"/>
          <w:sz w:val="20"/>
          <w:szCs w:val="20"/>
          <w:lang w:eastAsia="en-AU"/>
        </w:rPr>
        <w:t xml:space="preserve">he lack of access to clean water in </w:t>
      </w:r>
      <w:r w:rsidR="00D821CC">
        <w:rPr>
          <w:rFonts w:ascii="Segoe UI Light" w:hAnsi="Segoe UI Light" w:cs="Segoe UI Light"/>
          <w:color w:val="000000" w:themeColor="text1"/>
          <w:sz w:val="20"/>
          <w:szCs w:val="20"/>
          <w:lang w:eastAsia="en-AU"/>
        </w:rPr>
        <w:t>proximity</w:t>
      </w:r>
      <w:r w:rsidR="0084157D">
        <w:rPr>
          <w:rFonts w:ascii="Segoe UI Light" w:hAnsi="Segoe UI Light" w:cs="Segoe UI Light"/>
          <w:color w:val="000000" w:themeColor="text1"/>
          <w:sz w:val="20"/>
          <w:szCs w:val="20"/>
          <w:lang w:eastAsia="en-AU"/>
        </w:rPr>
        <w:t xml:space="preserve"> may me</w:t>
      </w:r>
      <w:r w:rsidR="00EC448C">
        <w:rPr>
          <w:rFonts w:ascii="Segoe UI Light" w:hAnsi="Segoe UI Light" w:cs="Segoe UI Light"/>
          <w:color w:val="000000" w:themeColor="text1"/>
          <w:sz w:val="20"/>
          <w:szCs w:val="20"/>
          <w:lang w:eastAsia="en-AU"/>
        </w:rPr>
        <w:t xml:space="preserve">an that </w:t>
      </w:r>
      <w:r w:rsidR="004120BA">
        <w:rPr>
          <w:rFonts w:ascii="Segoe UI Light" w:hAnsi="Segoe UI Light" w:cs="Segoe UI Light"/>
          <w:color w:val="000000" w:themeColor="text1"/>
          <w:sz w:val="20"/>
          <w:szCs w:val="20"/>
          <w:lang w:eastAsia="en-AU"/>
        </w:rPr>
        <w:t xml:space="preserve">women and children </w:t>
      </w:r>
      <w:proofErr w:type="gramStart"/>
      <w:r w:rsidR="004120BA">
        <w:rPr>
          <w:rFonts w:ascii="Segoe UI Light" w:hAnsi="Segoe UI Light" w:cs="Segoe UI Light"/>
          <w:color w:val="000000" w:themeColor="text1"/>
          <w:sz w:val="20"/>
          <w:szCs w:val="20"/>
          <w:lang w:eastAsia="en-AU"/>
        </w:rPr>
        <w:t>have to</w:t>
      </w:r>
      <w:proofErr w:type="gramEnd"/>
      <w:r w:rsidR="004120BA">
        <w:rPr>
          <w:rFonts w:ascii="Segoe UI Light" w:hAnsi="Segoe UI Light" w:cs="Segoe UI Light"/>
          <w:color w:val="000000" w:themeColor="text1"/>
          <w:sz w:val="20"/>
          <w:szCs w:val="20"/>
          <w:lang w:eastAsia="en-AU"/>
        </w:rPr>
        <w:t xml:space="preserve"> </w:t>
      </w:r>
      <w:r w:rsidR="004120BA">
        <w:rPr>
          <w:rFonts w:ascii="Segoe UI Light" w:hAnsi="Segoe UI Light" w:cs="Segoe UI Light"/>
          <w:color w:val="000000" w:themeColor="text1"/>
          <w:sz w:val="20"/>
          <w:szCs w:val="20"/>
          <w:lang w:eastAsia="en-AU"/>
        </w:rPr>
        <w:lastRenderedPageBreak/>
        <w:t xml:space="preserve">carry heavy loads for long distances, increasing musculoskeletal conditions and increasing </w:t>
      </w:r>
      <w:r w:rsidR="00182DF2">
        <w:rPr>
          <w:rFonts w:ascii="Segoe UI Light" w:hAnsi="Segoe UI Light" w:cs="Segoe UI Light"/>
          <w:color w:val="000000" w:themeColor="text1"/>
          <w:sz w:val="20"/>
          <w:szCs w:val="20"/>
          <w:lang w:eastAsia="en-AU"/>
        </w:rPr>
        <w:t xml:space="preserve">YLD’s. if contaminated water is consumed, this then increases the risk of water-borne diseases such as cholera and malaria, leading to increased YLL’s. </w:t>
      </w:r>
      <w:r w:rsidR="00BF6DE9">
        <w:rPr>
          <w:rFonts w:ascii="Segoe UI Light" w:hAnsi="Segoe UI Light" w:cs="Segoe UI Light"/>
          <w:color w:val="000000" w:themeColor="text1"/>
          <w:sz w:val="20"/>
          <w:szCs w:val="20"/>
          <w:lang w:eastAsia="en-AU"/>
        </w:rPr>
        <w:t xml:space="preserve">although water is essential for growing crops, a lack of water can diminish the natural </w:t>
      </w:r>
      <w:r w:rsidR="00C332D4">
        <w:rPr>
          <w:rFonts w:ascii="Segoe UI Light" w:hAnsi="Segoe UI Light" w:cs="Segoe UI Light"/>
          <w:color w:val="000000" w:themeColor="text1"/>
          <w:sz w:val="20"/>
          <w:szCs w:val="20"/>
          <w:lang w:eastAsia="en-AU"/>
        </w:rPr>
        <w:t xml:space="preserve">environment making it difficult to grow crops, reducing food security leading to hunger and malnutrition for </w:t>
      </w:r>
      <w:r w:rsidR="00FA76A7">
        <w:rPr>
          <w:rFonts w:ascii="Segoe UI Light" w:hAnsi="Segoe UI Light" w:cs="Segoe UI Light"/>
          <w:color w:val="000000" w:themeColor="text1"/>
          <w:sz w:val="20"/>
          <w:szCs w:val="20"/>
          <w:lang w:eastAsia="en-AU"/>
        </w:rPr>
        <w:t>the population</w:t>
      </w:r>
      <w:r w:rsidR="0039113F">
        <w:rPr>
          <w:rFonts w:ascii="Segoe UI Light" w:hAnsi="Segoe UI Light" w:cs="Segoe UI Light"/>
          <w:color w:val="000000" w:themeColor="text1"/>
          <w:sz w:val="20"/>
          <w:szCs w:val="20"/>
          <w:lang w:eastAsia="en-AU"/>
        </w:rPr>
        <w:t xml:space="preserve">, increasing levels of morbidity. </w:t>
      </w:r>
      <w:r w:rsidR="0084735D">
        <w:rPr>
          <w:rFonts w:ascii="Segoe UI Light" w:hAnsi="Segoe UI Light" w:cs="Segoe UI Light"/>
          <w:color w:val="000000" w:themeColor="text1"/>
          <w:sz w:val="20"/>
          <w:szCs w:val="20"/>
          <w:lang w:eastAsia="en-AU"/>
        </w:rPr>
        <w:t>a</w:t>
      </w:r>
      <w:r w:rsidR="006758A2">
        <w:rPr>
          <w:rFonts w:ascii="Segoe UI Light" w:hAnsi="Segoe UI Light" w:cs="Segoe UI Light"/>
          <w:color w:val="000000" w:themeColor="text1"/>
          <w:sz w:val="20"/>
          <w:szCs w:val="20"/>
          <w:lang w:eastAsia="en-AU"/>
        </w:rPr>
        <w:t>ustralia</w:t>
      </w:r>
      <w:r w:rsidR="00F4073B">
        <w:rPr>
          <w:rFonts w:ascii="Segoe UI Light" w:hAnsi="Segoe UI Light" w:cs="Segoe UI Light"/>
          <w:color w:val="000000" w:themeColor="text1"/>
          <w:sz w:val="20"/>
          <w:szCs w:val="20"/>
          <w:lang w:eastAsia="en-AU"/>
        </w:rPr>
        <w:t xml:space="preserve"> has a well-established and reliable water </w:t>
      </w:r>
      <w:r w:rsidR="0084735D">
        <w:rPr>
          <w:rFonts w:ascii="Segoe UI Light" w:hAnsi="Segoe UI Light" w:cs="Segoe UI Light"/>
          <w:color w:val="000000" w:themeColor="text1"/>
          <w:sz w:val="20"/>
          <w:szCs w:val="20"/>
          <w:lang w:eastAsia="en-AU"/>
        </w:rPr>
        <w:t>supply</w:t>
      </w:r>
      <w:r w:rsidR="00F4073B">
        <w:rPr>
          <w:rFonts w:ascii="Segoe UI Light" w:hAnsi="Segoe UI Light" w:cs="Segoe UI Light"/>
          <w:color w:val="000000" w:themeColor="text1"/>
          <w:sz w:val="20"/>
          <w:szCs w:val="20"/>
          <w:lang w:eastAsia="en-AU"/>
        </w:rPr>
        <w:t>, although interruptions to this supply are sometimes experience</w:t>
      </w:r>
      <w:r w:rsidR="0084735D">
        <w:rPr>
          <w:rFonts w:ascii="Segoe UI Light" w:hAnsi="Segoe UI Light" w:cs="Segoe UI Light"/>
          <w:color w:val="000000" w:themeColor="text1"/>
          <w:sz w:val="20"/>
          <w:szCs w:val="20"/>
          <w:lang w:eastAsia="en-AU"/>
        </w:rPr>
        <w:t>d</w:t>
      </w:r>
      <w:r w:rsidR="00F4073B">
        <w:rPr>
          <w:rFonts w:ascii="Segoe UI Light" w:hAnsi="Segoe UI Light" w:cs="Segoe UI Light"/>
          <w:color w:val="000000" w:themeColor="text1"/>
          <w:sz w:val="20"/>
          <w:szCs w:val="20"/>
          <w:lang w:eastAsia="en-AU"/>
        </w:rPr>
        <w:t xml:space="preserve"> in some remote indig</w:t>
      </w:r>
      <w:r w:rsidR="0084735D">
        <w:rPr>
          <w:rFonts w:ascii="Segoe UI Light" w:hAnsi="Segoe UI Light" w:cs="Segoe UI Light"/>
          <w:color w:val="000000" w:themeColor="text1"/>
          <w:sz w:val="20"/>
          <w:szCs w:val="20"/>
          <w:lang w:eastAsia="en-AU"/>
        </w:rPr>
        <w:t xml:space="preserve">enous communities, resulting from natural disasters and floods. </w:t>
      </w:r>
    </w:p>
    <w:p w14:paraId="24602E0A" w14:textId="77777777" w:rsidR="00F26CAD" w:rsidRDefault="00F26CAD" w:rsidP="00F26CAD">
      <w:pPr>
        <w:pStyle w:val="ListParagraph"/>
        <w:numPr>
          <w:ilvl w:val="0"/>
          <w:numId w:val="2"/>
        </w:numPr>
        <w:autoSpaceDE w:val="0"/>
        <w:autoSpaceDN w:val="0"/>
        <w:adjustRightInd w:val="0"/>
        <w:ind w:left="0" w:right="-755" w:hanging="284"/>
        <w:rPr>
          <w:color w:val="000000"/>
        </w:rPr>
      </w:pPr>
      <w:r w:rsidRPr="00F87715">
        <w:rPr>
          <w:color w:val="000000"/>
        </w:rPr>
        <w:t xml:space="preserve">Besides water and sanitation, outline two factors or characteristics that may contribute to </w:t>
      </w:r>
      <w:r>
        <w:rPr>
          <w:color w:val="000000"/>
        </w:rPr>
        <w:t>reduced</w:t>
      </w:r>
      <w:r w:rsidRPr="00F87715">
        <w:rPr>
          <w:color w:val="000000"/>
        </w:rPr>
        <w:t xml:space="preserve"> access </w:t>
      </w:r>
    </w:p>
    <w:p w14:paraId="24602E0B" w14:textId="77777777" w:rsidR="00F26CAD" w:rsidRPr="00F87715" w:rsidRDefault="00F26CAD" w:rsidP="00F26CAD">
      <w:pPr>
        <w:pStyle w:val="ListParagraph"/>
        <w:autoSpaceDE w:val="0"/>
        <w:autoSpaceDN w:val="0"/>
        <w:adjustRightInd w:val="0"/>
        <w:ind w:left="0" w:right="-755"/>
        <w:rPr>
          <w:color w:val="000000"/>
        </w:rPr>
      </w:pPr>
      <w:r w:rsidRPr="00F87715">
        <w:rPr>
          <w:color w:val="000000"/>
        </w:rPr>
        <w:t xml:space="preserve">to clean water </w:t>
      </w:r>
      <w:r>
        <w:rPr>
          <w:color w:val="000000"/>
        </w:rPr>
        <w:t xml:space="preserve">in low-income countries when compared to Australia. </w:t>
      </w:r>
      <w:r>
        <w:rPr>
          <w:color w:val="000000"/>
        </w:rPr>
        <w:tab/>
      </w:r>
      <w:r>
        <w:rPr>
          <w:color w:val="000000"/>
        </w:rPr>
        <w:tab/>
      </w:r>
      <w:r>
        <w:rPr>
          <w:color w:val="000000"/>
        </w:rPr>
        <w:tab/>
      </w:r>
      <w:r>
        <w:rPr>
          <w:color w:val="000000"/>
        </w:rPr>
        <w:tab/>
        <w:t xml:space="preserve">       </w:t>
      </w:r>
      <w:r w:rsidRPr="00F87715">
        <w:rPr>
          <w:color w:val="000000"/>
        </w:rPr>
        <w:t>4 marks</w:t>
      </w:r>
    </w:p>
    <w:p w14:paraId="24602E0C" w14:textId="5C5E236D" w:rsidR="00F26CAD" w:rsidRDefault="00F26CAD" w:rsidP="00F26CAD">
      <w:pPr>
        <w:autoSpaceDE w:val="0"/>
        <w:autoSpaceDN w:val="0"/>
        <w:adjustRightInd w:val="0"/>
        <w:ind w:left="-284"/>
      </w:pPr>
    </w:p>
    <w:p w14:paraId="00D7DA33" w14:textId="483FF7D4" w:rsidR="00DC700C" w:rsidRPr="00DC700C" w:rsidRDefault="00DC700C" w:rsidP="00DC700C">
      <w:pPr>
        <w:autoSpaceDE w:val="0"/>
        <w:autoSpaceDN w:val="0"/>
        <w:adjustRightInd w:val="0"/>
        <w:spacing w:line="360" w:lineRule="auto"/>
        <w:rPr>
          <w:rFonts w:ascii="Segoe UI Light" w:hAnsi="Segoe UI Light" w:cs="Segoe UI Light"/>
          <w:sz w:val="20"/>
          <w:szCs w:val="20"/>
        </w:rPr>
      </w:pPr>
      <w:r w:rsidRPr="00DC700C">
        <w:rPr>
          <w:rFonts w:ascii="Segoe UI Light" w:hAnsi="Segoe UI Light" w:cs="Segoe UI Light"/>
          <w:sz w:val="20"/>
          <w:szCs w:val="20"/>
        </w:rPr>
        <w:t xml:space="preserve">although australia, has a well-established and reliable water supply, interruptions to this supply </w:t>
      </w:r>
      <w:r w:rsidR="00673AFF" w:rsidRPr="00DC700C">
        <w:rPr>
          <w:rFonts w:ascii="Segoe UI Light" w:hAnsi="Segoe UI Light" w:cs="Segoe UI Light"/>
          <w:sz w:val="20"/>
          <w:szCs w:val="20"/>
        </w:rPr>
        <w:t>are</w:t>
      </w:r>
      <w:r w:rsidRPr="00DC700C">
        <w:rPr>
          <w:rFonts w:ascii="Segoe UI Light" w:hAnsi="Segoe UI Light" w:cs="Segoe UI Light"/>
          <w:sz w:val="20"/>
          <w:szCs w:val="20"/>
        </w:rPr>
        <w:t xml:space="preserve"> sometimes experienced in remote indigenous communities</w:t>
      </w:r>
      <w:r w:rsidR="00673AFF">
        <w:rPr>
          <w:rFonts w:ascii="Segoe UI Light" w:hAnsi="Segoe UI Light" w:cs="Segoe UI Light"/>
          <w:sz w:val="20"/>
          <w:szCs w:val="20"/>
        </w:rPr>
        <w:t xml:space="preserve">, </w:t>
      </w:r>
      <w:r w:rsidRPr="00DC700C">
        <w:rPr>
          <w:rFonts w:ascii="Segoe UI Light" w:hAnsi="Segoe UI Light" w:cs="Segoe UI Light"/>
          <w:sz w:val="20"/>
          <w:szCs w:val="20"/>
        </w:rPr>
        <w:t>result</w:t>
      </w:r>
      <w:r w:rsidR="00EB139E">
        <w:rPr>
          <w:rFonts w:ascii="Segoe UI Light" w:hAnsi="Segoe UI Light" w:cs="Segoe UI Light"/>
          <w:sz w:val="20"/>
          <w:szCs w:val="20"/>
        </w:rPr>
        <w:t>ed</w:t>
      </w:r>
      <w:r w:rsidRPr="00DC700C">
        <w:rPr>
          <w:rFonts w:ascii="Segoe UI Light" w:hAnsi="Segoe UI Light" w:cs="Segoe UI Light"/>
          <w:sz w:val="20"/>
          <w:szCs w:val="20"/>
        </w:rPr>
        <w:t xml:space="preserve"> </w:t>
      </w:r>
      <w:r w:rsidR="00673AFF">
        <w:rPr>
          <w:rFonts w:ascii="Segoe UI Light" w:hAnsi="Segoe UI Light" w:cs="Segoe UI Light"/>
          <w:sz w:val="20"/>
          <w:szCs w:val="20"/>
        </w:rPr>
        <w:t>from</w:t>
      </w:r>
      <w:r w:rsidRPr="00DC700C">
        <w:rPr>
          <w:rFonts w:ascii="Segoe UI Light" w:hAnsi="Segoe UI Light" w:cs="Segoe UI Light"/>
          <w:sz w:val="20"/>
          <w:szCs w:val="20"/>
        </w:rPr>
        <w:t xml:space="preserve"> natural disasters such as floods. </w:t>
      </w:r>
      <w:r w:rsidR="00EB139E">
        <w:rPr>
          <w:rFonts w:ascii="Segoe UI Light" w:hAnsi="Segoe UI Light" w:cs="Segoe UI Light"/>
          <w:sz w:val="20"/>
          <w:szCs w:val="20"/>
        </w:rPr>
        <w:t>l</w:t>
      </w:r>
      <w:r w:rsidR="00EB139E" w:rsidRPr="00DC700C">
        <w:rPr>
          <w:rFonts w:ascii="Segoe UI Light" w:hAnsi="Segoe UI Light" w:cs="Segoe UI Light"/>
          <w:sz w:val="20"/>
          <w:szCs w:val="20"/>
        </w:rPr>
        <w:t>ow</w:t>
      </w:r>
      <w:r w:rsidR="00EB139E">
        <w:rPr>
          <w:rFonts w:ascii="Segoe UI Light" w:hAnsi="Segoe UI Light" w:cs="Segoe UI Light"/>
          <w:sz w:val="20"/>
          <w:szCs w:val="20"/>
        </w:rPr>
        <w:t>-</w:t>
      </w:r>
      <w:r w:rsidR="00EB139E" w:rsidRPr="00DC700C">
        <w:rPr>
          <w:rFonts w:ascii="Segoe UI Light" w:hAnsi="Segoe UI Light" w:cs="Segoe UI Light"/>
          <w:sz w:val="20"/>
          <w:szCs w:val="20"/>
        </w:rPr>
        <w:t xml:space="preserve"> and middle</w:t>
      </w:r>
      <w:r w:rsidR="00EB139E">
        <w:rPr>
          <w:rFonts w:ascii="Segoe UI Light" w:hAnsi="Segoe UI Light" w:cs="Segoe UI Light"/>
          <w:sz w:val="20"/>
          <w:szCs w:val="20"/>
        </w:rPr>
        <w:t>-</w:t>
      </w:r>
      <w:r w:rsidR="00EB139E" w:rsidRPr="00DC700C">
        <w:rPr>
          <w:rFonts w:ascii="Segoe UI Light" w:hAnsi="Segoe UI Light" w:cs="Segoe UI Light"/>
          <w:sz w:val="20"/>
          <w:szCs w:val="20"/>
        </w:rPr>
        <w:t xml:space="preserve"> income countries are at greater risk of the effects of unsafe water</w:t>
      </w:r>
      <w:r w:rsidR="00EB139E">
        <w:rPr>
          <w:rFonts w:ascii="Segoe UI Light" w:hAnsi="Segoe UI Light" w:cs="Segoe UI Light"/>
          <w:sz w:val="20"/>
          <w:szCs w:val="20"/>
        </w:rPr>
        <w:t>,</w:t>
      </w:r>
      <w:r w:rsidR="00EB139E" w:rsidRPr="00DC700C">
        <w:rPr>
          <w:rFonts w:ascii="Segoe UI Light" w:hAnsi="Segoe UI Light" w:cs="Segoe UI Light"/>
          <w:sz w:val="20"/>
          <w:szCs w:val="20"/>
        </w:rPr>
        <w:t xml:space="preserve"> as they are less likely to have the infrastructure to supply clean drinking water, especially in rural and remote areas. governments of these countries often lack strict controls on water quality and</w:t>
      </w:r>
      <w:r w:rsidR="00EB139E">
        <w:rPr>
          <w:rFonts w:ascii="Segoe UI Light" w:hAnsi="Segoe UI Light" w:cs="Segoe UI Light"/>
          <w:sz w:val="20"/>
          <w:szCs w:val="20"/>
        </w:rPr>
        <w:t xml:space="preserve"> </w:t>
      </w:r>
      <w:r w:rsidR="00EB139E" w:rsidRPr="00DC700C">
        <w:rPr>
          <w:rFonts w:ascii="Segoe UI Light" w:hAnsi="Segoe UI Light" w:cs="Segoe UI Light"/>
          <w:sz w:val="20"/>
          <w:szCs w:val="20"/>
        </w:rPr>
        <w:t>monitoring, or the money to provide clean water to those who need it</w:t>
      </w:r>
      <w:r w:rsidR="00EB139E">
        <w:rPr>
          <w:rFonts w:ascii="Segoe UI Light" w:hAnsi="Segoe UI Light" w:cs="Segoe UI Light"/>
          <w:sz w:val="20"/>
          <w:szCs w:val="20"/>
        </w:rPr>
        <w:t xml:space="preserve">. </w:t>
      </w:r>
      <w:r w:rsidR="004655F5">
        <w:rPr>
          <w:rFonts w:ascii="Segoe UI Light" w:hAnsi="Segoe UI Light" w:cs="Segoe UI Light"/>
          <w:sz w:val="20"/>
          <w:szCs w:val="20"/>
        </w:rPr>
        <w:t xml:space="preserve">children </w:t>
      </w:r>
      <w:r w:rsidR="00845540">
        <w:rPr>
          <w:rFonts w:ascii="Segoe UI Light" w:hAnsi="Segoe UI Light" w:cs="Segoe UI Light"/>
          <w:sz w:val="20"/>
          <w:szCs w:val="20"/>
        </w:rPr>
        <w:t xml:space="preserve">in low- and low-middle income countries </w:t>
      </w:r>
      <w:r w:rsidR="004655F5">
        <w:rPr>
          <w:rFonts w:ascii="Segoe UI Light" w:hAnsi="Segoe UI Light" w:cs="Segoe UI Light"/>
          <w:sz w:val="20"/>
          <w:szCs w:val="20"/>
        </w:rPr>
        <w:t>are particu</w:t>
      </w:r>
      <w:r w:rsidR="00F85591">
        <w:rPr>
          <w:rFonts w:ascii="Segoe UI Light" w:hAnsi="Segoe UI Light" w:cs="Segoe UI Light"/>
          <w:sz w:val="20"/>
          <w:szCs w:val="20"/>
        </w:rPr>
        <w:t xml:space="preserve">larly </w:t>
      </w:r>
      <w:r w:rsidR="00F75149">
        <w:rPr>
          <w:rFonts w:ascii="Segoe UI Light" w:hAnsi="Segoe UI Light" w:cs="Segoe UI Light"/>
          <w:sz w:val="20"/>
          <w:szCs w:val="20"/>
        </w:rPr>
        <w:t>vulnerable</w:t>
      </w:r>
      <w:r w:rsidR="000B3A5C">
        <w:rPr>
          <w:rFonts w:ascii="Segoe UI Light" w:hAnsi="Segoe UI Light" w:cs="Segoe UI Light"/>
          <w:sz w:val="20"/>
          <w:szCs w:val="20"/>
        </w:rPr>
        <w:t xml:space="preserve"> to the impacts of unsafe water as they are likely to experience repeated infection </w:t>
      </w:r>
      <w:r w:rsidR="00F76F55">
        <w:rPr>
          <w:rFonts w:ascii="Segoe UI Light" w:hAnsi="Segoe UI Light" w:cs="Segoe UI Light"/>
          <w:sz w:val="20"/>
          <w:szCs w:val="20"/>
        </w:rPr>
        <w:t xml:space="preserve">from collecting </w:t>
      </w:r>
      <w:r w:rsidR="00F75149">
        <w:rPr>
          <w:rFonts w:ascii="Segoe UI Light" w:hAnsi="Segoe UI Light" w:cs="Segoe UI Light"/>
          <w:sz w:val="20"/>
          <w:szCs w:val="20"/>
        </w:rPr>
        <w:t>contaminated water, while</w:t>
      </w:r>
      <w:r w:rsidR="000B3A5C">
        <w:rPr>
          <w:rFonts w:ascii="Segoe UI Light" w:hAnsi="Segoe UI Light" w:cs="Segoe UI Light"/>
          <w:sz w:val="20"/>
          <w:szCs w:val="20"/>
        </w:rPr>
        <w:t xml:space="preserve"> account</w:t>
      </w:r>
      <w:r w:rsidR="00F75149">
        <w:rPr>
          <w:rFonts w:ascii="Segoe UI Light" w:hAnsi="Segoe UI Light" w:cs="Segoe UI Light"/>
          <w:sz w:val="20"/>
          <w:szCs w:val="20"/>
        </w:rPr>
        <w:t>ing</w:t>
      </w:r>
      <w:r w:rsidR="000B3A5C">
        <w:rPr>
          <w:rFonts w:ascii="Segoe UI Light" w:hAnsi="Segoe UI Light" w:cs="Segoe UI Light"/>
          <w:sz w:val="20"/>
          <w:szCs w:val="20"/>
        </w:rPr>
        <w:t xml:space="preserve"> for </w:t>
      </w:r>
      <w:r w:rsidR="00F75149">
        <w:rPr>
          <w:rFonts w:ascii="Segoe UI Light" w:hAnsi="Segoe UI Light" w:cs="Segoe UI Light"/>
          <w:sz w:val="20"/>
          <w:szCs w:val="20"/>
        </w:rPr>
        <w:t xml:space="preserve">a </w:t>
      </w:r>
      <w:r w:rsidR="000B3A5C">
        <w:rPr>
          <w:rFonts w:ascii="Segoe UI Light" w:hAnsi="Segoe UI Light" w:cs="Segoe UI Light"/>
          <w:sz w:val="20"/>
          <w:szCs w:val="20"/>
        </w:rPr>
        <w:t xml:space="preserve">high proportion of </w:t>
      </w:r>
      <w:r w:rsidR="00845540">
        <w:rPr>
          <w:rFonts w:ascii="Segoe UI Light" w:hAnsi="Segoe UI Light" w:cs="Segoe UI Light"/>
          <w:sz w:val="20"/>
          <w:szCs w:val="20"/>
        </w:rPr>
        <w:t xml:space="preserve">the </w:t>
      </w:r>
      <w:r w:rsidR="000B3A5C">
        <w:rPr>
          <w:rFonts w:ascii="Segoe UI Light" w:hAnsi="Segoe UI Light" w:cs="Segoe UI Light"/>
          <w:sz w:val="20"/>
          <w:szCs w:val="20"/>
        </w:rPr>
        <w:t>total deaths from water related causes including under</w:t>
      </w:r>
      <w:r w:rsidR="00845540">
        <w:rPr>
          <w:rFonts w:ascii="Segoe UI Light" w:hAnsi="Segoe UI Light" w:cs="Segoe UI Light"/>
          <w:sz w:val="20"/>
          <w:szCs w:val="20"/>
        </w:rPr>
        <w:t>n</w:t>
      </w:r>
      <w:r w:rsidR="000B3A5C">
        <w:rPr>
          <w:rFonts w:ascii="Segoe UI Light" w:hAnsi="Segoe UI Light" w:cs="Segoe UI Light"/>
          <w:sz w:val="20"/>
          <w:szCs w:val="20"/>
        </w:rPr>
        <w:t>utrition</w:t>
      </w:r>
      <w:r w:rsidR="00845540">
        <w:rPr>
          <w:rFonts w:ascii="Segoe UI Light" w:hAnsi="Segoe UI Light" w:cs="Segoe UI Light"/>
          <w:sz w:val="20"/>
          <w:szCs w:val="20"/>
        </w:rPr>
        <w:t xml:space="preserve">. </w:t>
      </w:r>
    </w:p>
    <w:p w14:paraId="5CE8374F" w14:textId="77777777" w:rsidR="00EF4A36" w:rsidRPr="00E17478" w:rsidRDefault="00EF4A36" w:rsidP="00E17478">
      <w:pPr>
        <w:spacing w:line="480" w:lineRule="auto"/>
        <w:ind w:right="-187"/>
        <w:rPr>
          <w:color w:val="000000" w:themeColor="text1"/>
          <w:lang w:eastAsia="en-AU"/>
        </w:rPr>
      </w:pPr>
    </w:p>
    <w:p w14:paraId="24602E21" w14:textId="77777777" w:rsidR="00F26CAD" w:rsidRDefault="00F26CAD" w:rsidP="00F26CAD">
      <w:pPr>
        <w:autoSpaceDE w:val="0"/>
        <w:autoSpaceDN w:val="0"/>
        <w:adjustRightInd w:val="0"/>
        <w:spacing w:after="120"/>
        <w:ind w:left="-284"/>
        <w:rPr>
          <w:color w:val="000000"/>
        </w:rPr>
      </w:pPr>
      <w:r w:rsidRPr="007B053A">
        <w:rPr>
          <w:b/>
          <w:color w:val="000000"/>
        </w:rPr>
        <w:t xml:space="preserve">Question </w:t>
      </w:r>
      <w:proofErr w:type="gramStart"/>
      <w:r>
        <w:rPr>
          <w:b/>
          <w:color w:val="000000"/>
        </w:rPr>
        <w:t>2</w:t>
      </w:r>
      <w:r>
        <w:rPr>
          <w:color w:val="000000"/>
        </w:rPr>
        <w:t xml:space="preserve">  (</w:t>
      </w:r>
      <w:proofErr w:type="gramEnd"/>
      <w:r>
        <w:rPr>
          <w:color w:val="000000"/>
        </w:rPr>
        <w:t>2 marks)</w:t>
      </w:r>
    </w:p>
    <w:p w14:paraId="24602E22" w14:textId="77777777" w:rsidR="00F26CAD" w:rsidRDefault="00F26CAD" w:rsidP="00F26CAD">
      <w:pPr>
        <w:autoSpaceDE w:val="0"/>
        <w:autoSpaceDN w:val="0"/>
        <w:adjustRightInd w:val="0"/>
        <w:ind w:left="-284"/>
        <w:rPr>
          <w:color w:val="000000"/>
        </w:rPr>
      </w:pPr>
      <w:r>
        <w:rPr>
          <w:color w:val="000000"/>
        </w:rPr>
        <w:t xml:space="preserve">The following table shows a range of indicators for Australia and Rwanda, a low-income country in Africa. </w:t>
      </w:r>
    </w:p>
    <w:p w14:paraId="24602E23" w14:textId="77777777" w:rsidR="00F26CAD" w:rsidRDefault="00F26CAD" w:rsidP="00F26CAD">
      <w:pPr>
        <w:autoSpaceDE w:val="0"/>
        <w:autoSpaceDN w:val="0"/>
        <w:adjustRightInd w:val="0"/>
        <w:rPr>
          <w:color w:val="000000"/>
        </w:rPr>
      </w:pPr>
    </w:p>
    <w:tbl>
      <w:tblPr>
        <w:tblStyle w:val="TableGrid"/>
        <w:tblW w:w="9634" w:type="dxa"/>
        <w:tblInd w:w="-289" w:type="dxa"/>
        <w:tblLook w:val="04A0" w:firstRow="1" w:lastRow="0" w:firstColumn="1" w:lastColumn="0" w:noHBand="0" w:noVBand="1"/>
      </w:tblPr>
      <w:tblGrid>
        <w:gridCol w:w="1631"/>
        <w:gridCol w:w="977"/>
        <w:gridCol w:w="1173"/>
        <w:gridCol w:w="1349"/>
        <w:gridCol w:w="1404"/>
        <w:gridCol w:w="1429"/>
        <w:gridCol w:w="1671"/>
      </w:tblGrid>
      <w:tr w:rsidR="00F26CAD" w14:paraId="24602E2B" w14:textId="77777777" w:rsidTr="00F31C9E">
        <w:tc>
          <w:tcPr>
            <w:tcW w:w="1690" w:type="dxa"/>
          </w:tcPr>
          <w:p w14:paraId="24602E24" w14:textId="77777777" w:rsidR="00F26CAD" w:rsidRDefault="00F26CAD" w:rsidP="00F31C9E">
            <w:pPr>
              <w:autoSpaceDE w:val="0"/>
              <w:autoSpaceDN w:val="0"/>
              <w:adjustRightInd w:val="0"/>
              <w:jc w:val="center"/>
              <w:rPr>
                <w:color w:val="000000"/>
              </w:rPr>
            </w:pPr>
          </w:p>
        </w:tc>
        <w:tc>
          <w:tcPr>
            <w:tcW w:w="995" w:type="dxa"/>
          </w:tcPr>
          <w:p w14:paraId="24602E25" w14:textId="77777777" w:rsidR="00F26CAD" w:rsidRPr="00B92AA8" w:rsidRDefault="00F26CAD" w:rsidP="00F31C9E">
            <w:pPr>
              <w:autoSpaceDE w:val="0"/>
              <w:autoSpaceDN w:val="0"/>
              <w:adjustRightInd w:val="0"/>
              <w:jc w:val="center"/>
              <w:rPr>
                <w:b/>
                <w:color w:val="000000"/>
              </w:rPr>
            </w:pPr>
            <w:r>
              <w:rPr>
                <w:b/>
                <w:color w:val="000000"/>
              </w:rPr>
              <w:t>GNI per capita ($)</w:t>
            </w:r>
          </w:p>
        </w:tc>
        <w:tc>
          <w:tcPr>
            <w:tcW w:w="1208" w:type="dxa"/>
          </w:tcPr>
          <w:p w14:paraId="24602E26" w14:textId="77777777" w:rsidR="00F26CAD" w:rsidRPr="00B92AA8" w:rsidRDefault="00F26CAD" w:rsidP="00F31C9E">
            <w:pPr>
              <w:autoSpaceDE w:val="0"/>
              <w:autoSpaceDN w:val="0"/>
              <w:adjustRightInd w:val="0"/>
              <w:jc w:val="center"/>
              <w:rPr>
                <w:b/>
                <w:color w:val="000000"/>
              </w:rPr>
            </w:pPr>
            <w:r>
              <w:rPr>
                <w:b/>
                <w:color w:val="000000"/>
              </w:rPr>
              <w:t>U5MR (per 1000 live births)</w:t>
            </w:r>
          </w:p>
        </w:tc>
        <w:tc>
          <w:tcPr>
            <w:tcW w:w="1273" w:type="dxa"/>
          </w:tcPr>
          <w:p w14:paraId="24602E27" w14:textId="77777777" w:rsidR="00F26CAD" w:rsidRPr="00B92AA8" w:rsidRDefault="00F26CAD" w:rsidP="00F31C9E">
            <w:pPr>
              <w:autoSpaceDE w:val="0"/>
              <w:autoSpaceDN w:val="0"/>
              <w:adjustRightInd w:val="0"/>
              <w:jc w:val="center"/>
              <w:rPr>
                <w:b/>
                <w:color w:val="000000"/>
              </w:rPr>
            </w:pPr>
            <w:r>
              <w:rPr>
                <w:b/>
                <w:color w:val="000000"/>
              </w:rPr>
              <w:t>Life expectancy (both sexes)</w:t>
            </w:r>
          </w:p>
        </w:tc>
        <w:tc>
          <w:tcPr>
            <w:tcW w:w="1305" w:type="dxa"/>
          </w:tcPr>
          <w:p w14:paraId="24602E28" w14:textId="77777777" w:rsidR="00F26CAD" w:rsidRDefault="00F26CAD" w:rsidP="00F31C9E">
            <w:pPr>
              <w:autoSpaceDE w:val="0"/>
              <w:autoSpaceDN w:val="0"/>
              <w:adjustRightInd w:val="0"/>
              <w:jc w:val="center"/>
              <w:rPr>
                <w:b/>
                <w:color w:val="000000"/>
              </w:rPr>
            </w:pPr>
            <w:r>
              <w:rPr>
                <w:b/>
                <w:color w:val="000000"/>
              </w:rPr>
              <w:t>Access to electricity (% of population)</w:t>
            </w:r>
          </w:p>
        </w:tc>
        <w:tc>
          <w:tcPr>
            <w:tcW w:w="1462" w:type="dxa"/>
          </w:tcPr>
          <w:p w14:paraId="24602E29" w14:textId="77777777" w:rsidR="00F26CAD" w:rsidRPr="00B92AA8" w:rsidRDefault="00F26CAD" w:rsidP="00F31C9E">
            <w:pPr>
              <w:autoSpaceDE w:val="0"/>
              <w:autoSpaceDN w:val="0"/>
              <w:adjustRightInd w:val="0"/>
              <w:jc w:val="center"/>
              <w:rPr>
                <w:b/>
                <w:color w:val="000000"/>
              </w:rPr>
            </w:pPr>
            <w:r>
              <w:rPr>
                <w:b/>
                <w:color w:val="000000"/>
              </w:rPr>
              <w:t>Maternal mortality (per 100 000 live births)</w:t>
            </w:r>
          </w:p>
        </w:tc>
        <w:tc>
          <w:tcPr>
            <w:tcW w:w="1701" w:type="dxa"/>
          </w:tcPr>
          <w:p w14:paraId="24602E2A" w14:textId="77777777" w:rsidR="00F26CAD" w:rsidRDefault="00F26CAD" w:rsidP="00F31C9E">
            <w:pPr>
              <w:autoSpaceDE w:val="0"/>
              <w:autoSpaceDN w:val="0"/>
              <w:adjustRightInd w:val="0"/>
              <w:jc w:val="center"/>
              <w:rPr>
                <w:b/>
                <w:color w:val="000000"/>
              </w:rPr>
            </w:pPr>
            <w:r>
              <w:rPr>
                <w:b/>
                <w:color w:val="000000"/>
              </w:rPr>
              <w:t>Current health expenditure (US$) per capita</w:t>
            </w:r>
          </w:p>
        </w:tc>
      </w:tr>
      <w:tr w:rsidR="00F26CAD" w14:paraId="24602E33" w14:textId="77777777" w:rsidTr="00F31C9E">
        <w:trPr>
          <w:trHeight w:val="454"/>
        </w:trPr>
        <w:tc>
          <w:tcPr>
            <w:tcW w:w="1690" w:type="dxa"/>
            <w:vAlign w:val="center"/>
          </w:tcPr>
          <w:p w14:paraId="24602E2C" w14:textId="77777777" w:rsidR="00F26CAD" w:rsidRPr="00B92AA8" w:rsidRDefault="00F26CAD" w:rsidP="00F31C9E">
            <w:pPr>
              <w:autoSpaceDE w:val="0"/>
              <w:autoSpaceDN w:val="0"/>
              <w:adjustRightInd w:val="0"/>
              <w:jc w:val="center"/>
              <w:rPr>
                <w:b/>
                <w:color w:val="000000"/>
              </w:rPr>
            </w:pPr>
            <w:r w:rsidRPr="00B92AA8">
              <w:rPr>
                <w:b/>
                <w:color w:val="000000"/>
              </w:rPr>
              <w:t>Australia</w:t>
            </w:r>
          </w:p>
        </w:tc>
        <w:tc>
          <w:tcPr>
            <w:tcW w:w="995" w:type="dxa"/>
            <w:vAlign w:val="center"/>
          </w:tcPr>
          <w:p w14:paraId="24602E2D" w14:textId="77777777" w:rsidR="00F26CAD" w:rsidRDefault="00F26CAD" w:rsidP="00F31C9E">
            <w:pPr>
              <w:autoSpaceDE w:val="0"/>
              <w:autoSpaceDN w:val="0"/>
              <w:adjustRightInd w:val="0"/>
              <w:jc w:val="center"/>
              <w:rPr>
                <w:color w:val="000000"/>
              </w:rPr>
            </w:pPr>
            <w:r>
              <w:rPr>
                <w:color w:val="000000"/>
              </w:rPr>
              <w:t>45 210</w:t>
            </w:r>
          </w:p>
        </w:tc>
        <w:tc>
          <w:tcPr>
            <w:tcW w:w="1208" w:type="dxa"/>
            <w:vAlign w:val="center"/>
          </w:tcPr>
          <w:p w14:paraId="24602E2E" w14:textId="77777777" w:rsidR="00F26CAD" w:rsidRDefault="00F26CAD" w:rsidP="00F31C9E">
            <w:pPr>
              <w:autoSpaceDE w:val="0"/>
              <w:autoSpaceDN w:val="0"/>
              <w:adjustRightInd w:val="0"/>
              <w:jc w:val="center"/>
              <w:rPr>
                <w:color w:val="000000"/>
              </w:rPr>
            </w:pPr>
            <w:r>
              <w:rPr>
                <w:color w:val="000000"/>
              </w:rPr>
              <w:t>3.7</w:t>
            </w:r>
          </w:p>
        </w:tc>
        <w:tc>
          <w:tcPr>
            <w:tcW w:w="1273" w:type="dxa"/>
            <w:vAlign w:val="center"/>
          </w:tcPr>
          <w:p w14:paraId="24602E2F" w14:textId="77777777" w:rsidR="00F26CAD" w:rsidRDefault="00F26CAD" w:rsidP="00F31C9E">
            <w:pPr>
              <w:autoSpaceDE w:val="0"/>
              <w:autoSpaceDN w:val="0"/>
              <w:adjustRightInd w:val="0"/>
              <w:jc w:val="center"/>
              <w:rPr>
                <w:color w:val="000000"/>
              </w:rPr>
            </w:pPr>
            <w:r>
              <w:rPr>
                <w:color w:val="000000"/>
              </w:rPr>
              <w:t>82.8</w:t>
            </w:r>
          </w:p>
        </w:tc>
        <w:tc>
          <w:tcPr>
            <w:tcW w:w="1305" w:type="dxa"/>
            <w:vAlign w:val="center"/>
          </w:tcPr>
          <w:p w14:paraId="24602E30" w14:textId="77777777" w:rsidR="00F26CAD" w:rsidRDefault="00F26CAD" w:rsidP="00F31C9E">
            <w:pPr>
              <w:autoSpaceDE w:val="0"/>
              <w:autoSpaceDN w:val="0"/>
              <w:adjustRightInd w:val="0"/>
              <w:jc w:val="center"/>
              <w:rPr>
                <w:color w:val="000000"/>
              </w:rPr>
            </w:pPr>
            <w:r>
              <w:rPr>
                <w:color w:val="000000"/>
              </w:rPr>
              <w:t>100</w:t>
            </w:r>
          </w:p>
        </w:tc>
        <w:tc>
          <w:tcPr>
            <w:tcW w:w="1462" w:type="dxa"/>
            <w:vAlign w:val="center"/>
          </w:tcPr>
          <w:p w14:paraId="24602E31" w14:textId="77777777" w:rsidR="00F26CAD" w:rsidRDefault="00F26CAD" w:rsidP="00F31C9E">
            <w:pPr>
              <w:autoSpaceDE w:val="0"/>
              <w:autoSpaceDN w:val="0"/>
              <w:adjustRightInd w:val="0"/>
              <w:jc w:val="center"/>
              <w:rPr>
                <w:color w:val="000000"/>
              </w:rPr>
            </w:pPr>
            <w:r>
              <w:rPr>
                <w:color w:val="000000"/>
              </w:rPr>
              <w:t>6</w:t>
            </w:r>
          </w:p>
        </w:tc>
        <w:tc>
          <w:tcPr>
            <w:tcW w:w="1701" w:type="dxa"/>
            <w:vAlign w:val="center"/>
          </w:tcPr>
          <w:p w14:paraId="24602E32" w14:textId="77777777" w:rsidR="00F26CAD" w:rsidRDefault="00F26CAD" w:rsidP="00F31C9E">
            <w:pPr>
              <w:autoSpaceDE w:val="0"/>
              <w:autoSpaceDN w:val="0"/>
              <w:adjustRightInd w:val="0"/>
              <w:jc w:val="center"/>
              <w:rPr>
                <w:color w:val="000000"/>
              </w:rPr>
            </w:pPr>
            <w:r>
              <w:rPr>
                <w:color w:val="000000"/>
              </w:rPr>
              <w:t>4 934</w:t>
            </w:r>
          </w:p>
        </w:tc>
      </w:tr>
      <w:tr w:rsidR="00F26CAD" w14:paraId="24602E3B" w14:textId="77777777" w:rsidTr="00F31C9E">
        <w:trPr>
          <w:trHeight w:val="454"/>
        </w:trPr>
        <w:tc>
          <w:tcPr>
            <w:tcW w:w="1690" w:type="dxa"/>
            <w:vAlign w:val="center"/>
          </w:tcPr>
          <w:p w14:paraId="24602E34" w14:textId="77777777" w:rsidR="00F26CAD" w:rsidRPr="00B92AA8" w:rsidRDefault="00F26CAD" w:rsidP="00F31C9E">
            <w:pPr>
              <w:autoSpaceDE w:val="0"/>
              <w:autoSpaceDN w:val="0"/>
              <w:adjustRightInd w:val="0"/>
              <w:jc w:val="center"/>
              <w:rPr>
                <w:b/>
                <w:color w:val="000000"/>
              </w:rPr>
            </w:pPr>
            <w:r w:rsidRPr="00B92AA8">
              <w:rPr>
                <w:b/>
                <w:color w:val="000000"/>
              </w:rPr>
              <w:t>Rwanda</w:t>
            </w:r>
          </w:p>
        </w:tc>
        <w:tc>
          <w:tcPr>
            <w:tcW w:w="995" w:type="dxa"/>
            <w:vAlign w:val="center"/>
          </w:tcPr>
          <w:p w14:paraId="24602E35" w14:textId="77777777" w:rsidR="00F26CAD" w:rsidRDefault="00F26CAD" w:rsidP="00F31C9E">
            <w:pPr>
              <w:autoSpaceDE w:val="0"/>
              <w:autoSpaceDN w:val="0"/>
              <w:adjustRightInd w:val="0"/>
              <w:jc w:val="center"/>
              <w:rPr>
                <w:color w:val="000000"/>
              </w:rPr>
            </w:pPr>
            <w:r>
              <w:rPr>
                <w:color w:val="000000"/>
              </w:rPr>
              <w:t>1 860</w:t>
            </w:r>
          </w:p>
        </w:tc>
        <w:tc>
          <w:tcPr>
            <w:tcW w:w="1208" w:type="dxa"/>
            <w:vAlign w:val="center"/>
          </w:tcPr>
          <w:p w14:paraId="24602E36" w14:textId="77777777" w:rsidR="00F26CAD" w:rsidRDefault="00F26CAD" w:rsidP="00F31C9E">
            <w:pPr>
              <w:autoSpaceDE w:val="0"/>
              <w:autoSpaceDN w:val="0"/>
              <w:adjustRightInd w:val="0"/>
              <w:jc w:val="center"/>
              <w:rPr>
                <w:color w:val="000000"/>
              </w:rPr>
            </w:pPr>
            <w:r>
              <w:rPr>
                <w:color w:val="000000"/>
              </w:rPr>
              <w:t>38.5</w:t>
            </w:r>
          </w:p>
        </w:tc>
        <w:tc>
          <w:tcPr>
            <w:tcW w:w="1273" w:type="dxa"/>
            <w:vAlign w:val="center"/>
          </w:tcPr>
          <w:p w14:paraId="24602E37" w14:textId="77777777" w:rsidR="00F26CAD" w:rsidRDefault="00F26CAD" w:rsidP="00F31C9E">
            <w:pPr>
              <w:autoSpaceDE w:val="0"/>
              <w:autoSpaceDN w:val="0"/>
              <w:adjustRightInd w:val="0"/>
              <w:jc w:val="center"/>
              <w:rPr>
                <w:color w:val="000000"/>
              </w:rPr>
            </w:pPr>
            <w:r>
              <w:rPr>
                <w:color w:val="000000"/>
              </w:rPr>
              <w:t>66.1</w:t>
            </w:r>
          </w:p>
        </w:tc>
        <w:tc>
          <w:tcPr>
            <w:tcW w:w="1305" w:type="dxa"/>
            <w:vAlign w:val="center"/>
          </w:tcPr>
          <w:p w14:paraId="24602E38" w14:textId="77777777" w:rsidR="00F26CAD" w:rsidRDefault="00F26CAD" w:rsidP="00F31C9E">
            <w:pPr>
              <w:autoSpaceDE w:val="0"/>
              <w:autoSpaceDN w:val="0"/>
              <w:adjustRightInd w:val="0"/>
              <w:jc w:val="center"/>
              <w:rPr>
                <w:color w:val="000000"/>
              </w:rPr>
            </w:pPr>
            <w:r>
              <w:rPr>
                <w:color w:val="000000"/>
              </w:rPr>
              <w:t>29</w:t>
            </w:r>
          </w:p>
        </w:tc>
        <w:tc>
          <w:tcPr>
            <w:tcW w:w="1462" w:type="dxa"/>
            <w:vAlign w:val="center"/>
          </w:tcPr>
          <w:p w14:paraId="24602E39" w14:textId="77777777" w:rsidR="00F26CAD" w:rsidRDefault="00F26CAD" w:rsidP="00F31C9E">
            <w:pPr>
              <w:autoSpaceDE w:val="0"/>
              <w:autoSpaceDN w:val="0"/>
              <w:adjustRightInd w:val="0"/>
              <w:jc w:val="center"/>
              <w:rPr>
                <w:color w:val="000000"/>
              </w:rPr>
            </w:pPr>
            <w:r>
              <w:rPr>
                <w:color w:val="000000"/>
              </w:rPr>
              <w:t>290</w:t>
            </w:r>
          </w:p>
        </w:tc>
        <w:tc>
          <w:tcPr>
            <w:tcW w:w="1701" w:type="dxa"/>
            <w:vAlign w:val="center"/>
          </w:tcPr>
          <w:p w14:paraId="24602E3A" w14:textId="77777777" w:rsidR="00F26CAD" w:rsidRDefault="00F26CAD" w:rsidP="00F31C9E">
            <w:pPr>
              <w:autoSpaceDE w:val="0"/>
              <w:autoSpaceDN w:val="0"/>
              <w:adjustRightInd w:val="0"/>
              <w:jc w:val="center"/>
              <w:rPr>
                <w:color w:val="000000"/>
              </w:rPr>
            </w:pPr>
            <w:r>
              <w:rPr>
                <w:color w:val="000000"/>
              </w:rPr>
              <w:t>57</w:t>
            </w:r>
          </w:p>
        </w:tc>
      </w:tr>
    </w:tbl>
    <w:p w14:paraId="24602E3C" w14:textId="77777777" w:rsidR="00F26CAD" w:rsidRPr="00232743" w:rsidRDefault="00F26CAD" w:rsidP="00F26CAD">
      <w:pPr>
        <w:autoSpaceDE w:val="0"/>
        <w:autoSpaceDN w:val="0"/>
        <w:adjustRightInd w:val="0"/>
        <w:jc w:val="right"/>
        <w:rPr>
          <w:color w:val="000000"/>
        </w:rPr>
      </w:pPr>
      <w:r>
        <w:rPr>
          <w:color w:val="000000"/>
        </w:rPr>
        <w:t xml:space="preserve">Source: WHO and World Bank, 2018. </w:t>
      </w:r>
    </w:p>
    <w:p w14:paraId="24602E3D" w14:textId="77777777" w:rsidR="00F26CAD" w:rsidRPr="0024106C" w:rsidRDefault="00F26CAD" w:rsidP="00F26CAD">
      <w:pPr>
        <w:autoSpaceDE w:val="0"/>
        <w:autoSpaceDN w:val="0"/>
        <w:adjustRightInd w:val="0"/>
        <w:rPr>
          <w:color w:val="000000"/>
          <w:sz w:val="18"/>
        </w:rPr>
      </w:pPr>
    </w:p>
    <w:p w14:paraId="24602E3E" w14:textId="77777777" w:rsidR="00F26CAD" w:rsidRDefault="00F26CAD" w:rsidP="00F26CAD">
      <w:pPr>
        <w:autoSpaceDE w:val="0"/>
        <w:autoSpaceDN w:val="0"/>
        <w:adjustRightInd w:val="0"/>
        <w:spacing w:after="180"/>
        <w:ind w:left="-284"/>
        <w:rPr>
          <w:color w:val="000000"/>
        </w:rPr>
      </w:pPr>
      <w:r>
        <w:rPr>
          <w:color w:val="000000"/>
        </w:rPr>
        <w:t xml:space="preserve">Using data, draw a conclusion relating to health status in Australia compared to Rwanda. </w:t>
      </w:r>
      <w:r>
        <w:rPr>
          <w:color w:val="000000"/>
        </w:rPr>
        <w:tab/>
      </w:r>
      <w:r w:rsidRPr="00232743">
        <w:rPr>
          <w:color w:val="000000"/>
        </w:rPr>
        <w:tab/>
      </w:r>
    </w:p>
    <w:p w14:paraId="712B88DC" w14:textId="6387B75E" w:rsidR="00EA0D92" w:rsidRDefault="007170CE" w:rsidP="005858CE">
      <w:pPr>
        <w:autoSpaceDE w:val="0"/>
        <w:autoSpaceDN w:val="0"/>
        <w:adjustRightInd w:val="0"/>
        <w:spacing w:line="360" w:lineRule="auto"/>
        <w:ind w:left="-284"/>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health status in australia is better than that in rwanda </w:t>
      </w:r>
      <w:r w:rsidR="00800274">
        <w:rPr>
          <w:rFonts w:ascii="Segoe UI Light" w:hAnsi="Segoe UI Light" w:cs="Segoe UI Light"/>
          <w:color w:val="000000" w:themeColor="text1"/>
          <w:sz w:val="20"/>
          <w:szCs w:val="20"/>
          <w:lang w:eastAsia="en-AU"/>
        </w:rPr>
        <w:t xml:space="preserve">according to the data presented in the table above. the under-five mortality rate is lower in australia </w:t>
      </w:r>
      <w:r w:rsidR="00DF4BE7">
        <w:rPr>
          <w:rFonts w:ascii="Segoe UI Light" w:hAnsi="Segoe UI Light" w:cs="Segoe UI Light"/>
          <w:color w:val="000000" w:themeColor="text1"/>
          <w:sz w:val="20"/>
          <w:szCs w:val="20"/>
          <w:lang w:eastAsia="en-AU"/>
        </w:rPr>
        <w:t xml:space="preserve">than rwanda at 3.7 and 38.5 deaths per 1000 live births respectively. </w:t>
      </w:r>
      <w:r w:rsidR="00164772">
        <w:rPr>
          <w:rFonts w:ascii="Segoe UI Light" w:hAnsi="Segoe UI Light" w:cs="Segoe UI Light"/>
          <w:color w:val="000000" w:themeColor="text1"/>
          <w:sz w:val="20"/>
          <w:szCs w:val="20"/>
          <w:lang w:eastAsia="en-AU"/>
        </w:rPr>
        <w:t xml:space="preserve">safe water and sanitation may be more readily in available for those un australia compared to those in rwanda, which can contribute to this difference. </w:t>
      </w:r>
      <w:r w:rsidR="0070017F">
        <w:rPr>
          <w:rFonts w:ascii="Segoe UI Light" w:hAnsi="Segoe UI Light" w:cs="Segoe UI Light"/>
          <w:color w:val="000000" w:themeColor="text1"/>
          <w:sz w:val="20"/>
          <w:szCs w:val="20"/>
          <w:lang w:eastAsia="en-AU"/>
        </w:rPr>
        <w:t xml:space="preserve">children are often the most susceptible </w:t>
      </w:r>
      <w:r w:rsidR="0084293C">
        <w:rPr>
          <w:rFonts w:ascii="Segoe UI Light" w:hAnsi="Segoe UI Light" w:cs="Segoe UI Light"/>
          <w:color w:val="000000" w:themeColor="text1"/>
          <w:sz w:val="20"/>
          <w:szCs w:val="20"/>
          <w:lang w:eastAsia="en-AU"/>
        </w:rPr>
        <w:t>to conditions, such as cholera</w:t>
      </w:r>
      <w:r w:rsidR="00262D14">
        <w:rPr>
          <w:rFonts w:ascii="Segoe UI Light" w:hAnsi="Segoe UI Light" w:cs="Segoe UI Light"/>
          <w:color w:val="000000" w:themeColor="text1"/>
          <w:sz w:val="20"/>
          <w:szCs w:val="20"/>
          <w:lang w:eastAsia="en-AU"/>
        </w:rPr>
        <w:t xml:space="preserve">, which can occur when clean water and sanitation are not readily available. </w:t>
      </w:r>
      <w:r w:rsidR="0050392D">
        <w:rPr>
          <w:rFonts w:ascii="Segoe UI Light" w:hAnsi="Segoe UI Light" w:cs="Segoe UI Light"/>
          <w:color w:val="000000" w:themeColor="text1"/>
          <w:sz w:val="20"/>
          <w:szCs w:val="20"/>
          <w:lang w:eastAsia="en-AU"/>
        </w:rPr>
        <w:t xml:space="preserve">these conditions can cause death and may contribute to the difference in the under-five mortality rate between the two countries. </w:t>
      </w:r>
      <w:r w:rsidR="00ED03FD">
        <w:rPr>
          <w:rFonts w:ascii="Segoe UI Light" w:hAnsi="Segoe UI Light" w:cs="Segoe UI Light"/>
          <w:color w:val="000000" w:themeColor="text1"/>
          <w:sz w:val="20"/>
          <w:szCs w:val="20"/>
          <w:lang w:eastAsia="en-AU"/>
        </w:rPr>
        <w:t>rwanda</w:t>
      </w:r>
      <w:r w:rsidR="00D06F40">
        <w:rPr>
          <w:rFonts w:ascii="Segoe UI Light" w:hAnsi="Segoe UI Light" w:cs="Segoe UI Light"/>
          <w:color w:val="000000" w:themeColor="text1"/>
          <w:sz w:val="20"/>
          <w:szCs w:val="20"/>
          <w:lang w:eastAsia="en-AU"/>
        </w:rPr>
        <w:t xml:space="preserve">’s GNI per capita </w:t>
      </w:r>
      <w:r w:rsidR="005B7F57">
        <w:rPr>
          <w:rFonts w:ascii="Segoe UI Light" w:hAnsi="Segoe UI Light" w:cs="Segoe UI Light"/>
          <w:color w:val="000000" w:themeColor="text1"/>
          <w:sz w:val="20"/>
          <w:szCs w:val="20"/>
          <w:lang w:eastAsia="en-AU"/>
        </w:rPr>
        <w:t xml:space="preserve">at $1860 puts them in the low-income country bracket compared to australia at $45210 therefore being classified as a high-income country. </w:t>
      </w:r>
    </w:p>
    <w:p w14:paraId="68928476" w14:textId="57F0919C" w:rsidR="005858CE" w:rsidRDefault="005858CE" w:rsidP="005858CE">
      <w:pPr>
        <w:autoSpaceDE w:val="0"/>
        <w:autoSpaceDN w:val="0"/>
        <w:adjustRightInd w:val="0"/>
        <w:spacing w:line="360" w:lineRule="auto"/>
        <w:ind w:left="-284"/>
        <w:rPr>
          <w:rFonts w:ascii="Segoe UI Light" w:hAnsi="Segoe UI Light" w:cs="Segoe UI Light"/>
          <w:color w:val="000000" w:themeColor="text1"/>
          <w:sz w:val="20"/>
          <w:szCs w:val="20"/>
          <w:lang w:eastAsia="en-AU"/>
        </w:rPr>
      </w:pPr>
    </w:p>
    <w:p w14:paraId="430EF958" w14:textId="30807F7C" w:rsidR="005858CE" w:rsidRDefault="005858CE" w:rsidP="005858CE">
      <w:pPr>
        <w:autoSpaceDE w:val="0"/>
        <w:autoSpaceDN w:val="0"/>
        <w:adjustRightInd w:val="0"/>
        <w:spacing w:line="360" w:lineRule="auto"/>
        <w:ind w:left="-284"/>
        <w:rPr>
          <w:rFonts w:ascii="Segoe UI Light" w:hAnsi="Segoe UI Light" w:cs="Segoe UI Light"/>
          <w:color w:val="000000" w:themeColor="text1"/>
          <w:sz w:val="20"/>
          <w:szCs w:val="20"/>
          <w:lang w:eastAsia="en-AU"/>
        </w:rPr>
      </w:pPr>
    </w:p>
    <w:p w14:paraId="4CA77BB5" w14:textId="77777777" w:rsidR="005858CE" w:rsidRPr="00D21983" w:rsidRDefault="005858CE" w:rsidP="005858CE">
      <w:pPr>
        <w:autoSpaceDE w:val="0"/>
        <w:autoSpaceDN w:val="0"/>
        <w:adjustRightInd w:val="0"/>
        <w:spacing w:line="360" w:lineRule="auto"/>
        <w:ind w:left="-284"/>
        <w:rPr>
          <w:rFonts w:ascii="Segoe UI Light" w:hAnsi="Segoe UI Light" w:cs="Segoe UI Light"/>
          <w:color w:val="000000" w:themeColor="text1"/>
          <w:sz w:val="20"/>
          <w:szCs w:val="20"/>
          <w:lang w:eastAsia="en-AU"/>
        </w:rPr>
      </w:pPr>
    </w:p>
    <w:p w14:paraId="24602E4D" w14:textId="77777777" w:rsidR="00F26CAD" w:rsidRDefault="00F26CAD" w:rsidP="005858CE">
      <w:pPr>
        <w:autoSpaceDE w:val="0"/>
        <w:autoSpaceDN w:val="0"/>
        <w:adjustRightInd w:val="0"/>
        <w:spacing w:line="480" w:lineRule="auto"/>
        <w:rPr>
          <w:color w:val="000000" w:themeColor="text1"/>
          <w:lang w:eastAsia="en-AU"/>
        </w:rPr>
      </w:pPr>
      <w:r w:rsidRPr="0024106C">
        <w:rPr>
          <w:b/>
          <w:color w:val="000000" w:themeColor="text1"/>
          <w:lang w:eastAsia="en-AU"/>
        </w:rPr>
        <w:lastRenderedPageBreak/>
        <w:t xml:space="preserve">Question </w:t>
      </w:r>
      <w:proofErr w:type="gramStart"/>
      <w:r>
        <w:rPr>
          <w:b/>
          <w:color w:val="000000" w:themeColor="text1"/>
          <w:lang w:eastAsia="en-AU"/>
        </w:rPr>
        <w:t>3</w:t>
      </w:r>
      <w:r>
        <w:rPr>
          <w:color w:val="000000" w:themeColor="text1"/>
          <w:lang w:eastAsia="en-AU"/>
        </w:rPr>
        <w:t xml:space="preserve">  (</w:t>
      </w:r>
      <w:proofErr w:type="gramEnd"/>
      <w:r>
        <w:rPr>
          <w:color w:val="000000" w:themeColor="text1"/>
          <w:lang w:eastAsia="en-AU"/>
        </w:rPr>
        <w:t>9 marks)</w:t>
      </w:r>
    </w:p>
    <w:p w14:paraId="24602E4E" w14:textId="77777777" w:rsidR="00F26CAD" w:rsidRPr="0024106C" w:rsidRDefault="00F26CAD" w:rsidP="00F26CAD">
      <w:pPr>
        <w:pStyle w:val="ListParagraph"/>
        <w:numPr>
          <w:ilvl w:val="0"/>
          <w:numId w:val="1"/>
        </w:numPr>
        <w:autoSpaceDE w:val="0"/>
        <w:autoSpaceDN w:val="0"/>
        <w:adjustRightInd w:val="0"/>
        <w:ind w:left="0" w:right="-755" w:hanging="284"/>
        <w:rPr>
          <w:color w:val="000000"/>
        </w:rPr>
      </w:pPr>
      <w:r w:rsidRPr="0024106C">
        <w:rPr>
          <w:color w:val="000000"/>
        </w:rPr>
        <w:t xml:space="preserve">Briefly explain what is meant by global marketing of tobacco. </w:t>
      </w:r>
      <w:r w:rsidRPr="0024106C">
        <w:rPr>
          <w:color w:val="000000"/>
        </w:rPr>
        <w:tab/>
      </w:r>
      <w:r w:rsidRPr="0024106C">
        <w:rPr>
          <w:color w:val="000000"/>
        </w:rPr>
        <w:tab/>
      </w:r>
      <w:r>
        <w:rPr>
          <w:color w:val="000000"/>
        </w:rPr>
        <w:t xml:space="preserve">                                                1 mark</w:t>
      </w:r>
    </w:p>
    <w:p w14:paraId="24602E4F" w14:textId="77777777" w:rsidR="00F26CAD" w:rsidRDefault="00F26CAD" w:rsidP="00F26CAD">
      <w:pPr>
        <w:autoSpaceDE w:val="0"/>
        <w:autoSpaceDN w:val="0"/>
        <w:adjustRightInd w:val="0"/>
        <w:ind w:hanging="284"/>
        <w:rPr>
          <w:color w:val="000000"/>
        </w:rPr>
      </w:pPr>
    </w:p>
    <w:p w14:paraId="24602E52" w14:textId="71787A67" w:rsidR="00F26CAD" w:rsidRPr="007410BB" w:rsidRDefault="007410BB" w:rsidP="007410BB">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the global marketing of tobacco refers to </w:t>
      </w:r>
      <w:r w:rsidR="00967273">
        <w:rPr>
          <w:rFonts w:ascii="Segoe UI Light" w:hAnsi="Segoe UI Light" w:cs="Segoe UI Light"/>
          <w:color w:val="000000" w:themeColor="text1"/>
          <w:sz w:val="20"/>
          <w:szCs w:val="20"/>
          <w:lang w:eastAsia="en-AU"/>
        </w:rPr>
        <w:t xml:space="preserve">multi-national brands </w:t>
      </w:r>
      <w:r w:rsidR="00F77F03">
        <w:rPr>
          <w:rFonts w:ascii="Segoe UI Light" w:hAnsi="Segoe UI Light" w:cs="Segoe UI Light"/>
          <w:color w:val="000000" w:themeColor="text1"/>
          <w:sz w:val="20"/>
          <w:szCs w:val="20"/>
          <w:lang w:eastAsia="en-AU"/>
        </w:rPr>
        <w:t>advertising and selling of t</w:t>
      </w:r>
      <w:r w:rsidR="00967273">
        <w:rPr>
          <w:rFonts w:ascii="Segoe UI Light" w:hAnsi="Segoe UI Light" w:cs="Segoe UI Light"/>
          <w:color w:val="000000" w:themeColor="text1"/>
          <w:sz w:val="20"/>
          <w:szCs w:val="20"/>
          <w:lang w:eastAsia="en-AU"/>
        </w:rPr>
        <w:t xml:space="preserve">obacco goods and services on a global scale. </w:t>
      </w:r>
    </w:p>
    <w:p w14:paraId="24602E53" w14:textId="77777777" w:rsidR="00F26CAD" w:rsidRDefault="00F26CAD" w:rsidP="00F26CAD">
      <w:pPr>
        <w:pStyle w:val="ListParagraph"/>
        <w:numPr>
          <w:ilvl w:val="0"/>
          <w:numId w:val="1"/>
        </w:numPr>
        <w:autoSpaceDE w:val="0"/>
        <w:autoSpaceDN w:val="0"/>
        <w:adjustRightInd w:val="0"/>
        <w:ind w:left="0" w:right="-755" w:hanging="284"/>
        <w:rPr>
          <w:color w:val="000000"/>
        </w:rPr>
      </w:pPr>
      <w:r w:rsidRPr="0024106C">
        <w:rPr>
          <w:color w:val="000000"/>
        </w:rPr>
        <w:t xml:space="preserve">Explain why low-income countries are particularly susceptible to the distribution and marketing of </w:t>
      </w:r>
    </w:p>
    <w:p w14:paraId="24602E54" w14:textId="77777777" w:rsidR="00F26CAD" w:rsidRPr="0024106C" w:rsidRDefault="00F26CAD" w:rsidP="00F26CAD">
      <w:pPr>
        <w:pStyle w:val="ListParagraph"/>
        <w:autoSpaceDE w:val="0"/>
        <w:autoSpaceDN w:val="0"/>
        <w:adjustRightInd w:val="0"/>
        <w:ind w:left="0" w:right="-755"/>
        <w:rPr>
          <w:color w:val="000000"/>
        </w:rPr>
      </w:pPr>
      <w:r w:rsidRPr="0024106C">
        <w:rPr>
          <w:color w:val="000000"/>
        </w:rPr>
        <w:t xml:space="preserve">tobacco.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24106C">
        <w:rPr>
          <w:color w:val="000000"/>
        </w:rPr>
        <w:t>4 marks</w:t>
      </w:r>
    </w:p>
    <w:p w14:paraId="24602E55" w14:textId="77777777" w:rsidR="00F26CAD" w:rsidRPr="007B053A" w:rsidRDefault="00F26CAD" w:rsidP="00F26CAD">
      <w:pPr>
        <w:autoSpaceDE w:val="0"/>
        <w:autoSpaceDN w:val="0"/>
        <w:adjustRightInd w:val="0"/>
        <w:ind w:hanging="284"/>
        <w:rPr>
          <w:color w:val="000000"/>
          <w:sz w:val="16"/>
        </w:rPr>
      </w:pPr>
    </w:p>
    <w:p w14:paraId="0EA4E469" w14:textId="0312C432" w:rsidR="007410BB" w:rsidRPr="007410BB" w:rsidRDefault="007410BB" w:rsidP="007410BB">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l</w:t>
      </w:r>
      <w:r w:rsidRPr="007410BB">
        <w:rPr>
          <w:rFonts w:ascii="Segoe UI Light" w:hAnsi="Segoe UI Light" w:cs="Segoe UI Light"/>
          <w:color w:val="000000" w:themeColor="text1"/>
          <w:sz w:val="20"/>
          <w:szCs w:val="20"/>
          <w:lang w:eastAsia="en-AU"/>
        </w:rPr>
        <w:t xml:space="preserve">ow-income </w:t>
      </w:r>
      <w:r w:rsidR="0040178A">
        <w:rPr>
          <w:rFonts w:ascii="Segoe UI Light" w:hAnsi="Segoe UI Light" w:cs="Segoe UI Light"/>
          <w:color w:val="000000" w:themeColor="text1"/>
          <w:sz w:val="20"/>
          <w:szCs w:val="20"/>
          <w:lang w:eastAsia="en-AU"/>
        </w:rPr>
        <w:t>countries have been specifically targeted by manufactures of tobacco</w:t>
      </w:r>
      <w:r w:rsidR="00AA4F4E">
        <w:rPr>
          <w:rFonts w:ascii="Segoe UI Light" w:hAnsi="Segoe UI Light" w:cs="Segoe UI Light"/>
          <w:color w:val="000000" w:themeColor="text1"/>
          <w:sz w:val="20"/>
          <w:szCs w:val="20"/>
          <w:lang w:eastAsia="en-AU"/>
        </w:rPr>
        <w:t xml:space="preserve">, </w:t>
      </w:r>
      <w:r w:rsidR="0040178A">
        <w:rPr>
          <w:rFonts w:ascii="Segoe UI Light" w:hAnsi="Segoe UI Light" w:cs="Segoe UI Light"/>
          <w:color w:val="000000" w:themeColor="text1"/>
          <w:sz w:val="20"/>
          <w:szCs w:val="20"/>
          <w:lang w:eastAsia="en-AU"/>
        </w:rPr>
        <w:t xml:space="preserve">therefore contributing to an increase in non-communicable diseases </w:t>
      </w:r>
      <w:r w:rsidR="00F059B2">
        <w:rPr>
          <w:rFonts w:ascii="Segoe UI Light" w:hAnsi="Segoe UI Light" w:cs="Segoe UI Light"/>
          <w:color w:val="000000" w:themeColor="text1"/>
          <w:sz w:val="20"/>
          <w:szCs w:val="20"/>
          <w:lang w:eastAsia="en-AU"/>
        </w:rPr>
        <w:t>in these</w:t>
      </w:r>
      <w:r w:rsidR="004F063A">
        <w:rPr>
          <w:rFonts w:ascii="Segoe UI Light" w:hAnsi="Segoe UI Light" w:cs="Segoe UI Light"/>
          <w:color w:val="000000" w:themeColor="text1"/>
          <w:sz w:val="20"/>
          <w:szCs w:val="20"/>
          <w:lang w:eastAsia="en-AU"/>
        </w:rPr>
        <w:t xml:space="preserve"> </w:t>
      </w:r>
      <w:r w:rsidR="0040178A">
        <w:rPr>
          <w:rFonts w:ascii="Segoe UI Light" w:hAnsi="Segoe UI Light" w:cs="Segoe UI Light"/>
          <w:color w:val="000000" w:themeColor="text1"/>
          <w:sz w:val="20"/>
          <w:szCs w:val="20"/>
          <w:lang w:eastAsia="en-AU"/>
        </w:rPr>
        <w:t xml:space="preserve">countries. </w:t>
      </w:r>
      <w:r w:rsidR="00B31987">
        <w:rPr>
          <w:rFonts w:ascii="Segoe UI Light" w:hAnsi="Segoe UI Light" w:cs="Segoe UI Light"/>
          <w:color w:val="000000" w:themeColor="text1"/>
          <w:sz w:val="20"/>
          <w:szCs w:val="20"/>
          <w:lang w:eastAsia="en-AU"/>
        </w:rPr>
        <w:t>as smoking rates have decreased in many high-income countries</w:t>
      </w:r>
      <w:r w:rsidR="00F059B2">
        <w:rPr>
          <w:rFonts w:ascii="Segoe UI Light" w:hAnsi="Segoe UI Light" w:cs="Segoe UI Light"/>
          <w:color w:val="000000" w:themeColor="text1"/>
          <w:sz w:val="20"/>
          <w:szCs w:val="20"/>
          <w:lang w:eastAsia="en-AU"/>
        </w:rPr>
        <w:t>, the global distribution and marketing has increased in low-income countries</w:t>
      </w:r>
      <w:r w:rsidR="00F059B2" w:rsidRPr="00F059B2">
        <w:rPr>
          <w:rFonts w:ascii="Segoe UI Light" w:hAnsi="Segoe UI Light" w:cs="Segoe UI Light"/>
          <w:color w:val="000000" w:themeColor="text1"/>
          <w:sz w:val="20"/>
          <w:szCs w:val="20"/>
          <w:lang w:eastAsia="en-AU"/>
        </w:rPr>
        <w:t xml:space="preserve"> </w:t>
      </w:r>
      <w:r w:rsidR="00F059B2">
        <w:rPr>
          <w:rFonts w:ascii="Segoe UI Light" w:hAnsi="Segoe UI Light" w:cs="Segoe UI Light"/>
          <w:color w:val="000000" w:themeColor="text1"/>
          <w:sz w:val="20"/>
          <w:szCs w:val="20"/>
          <w:lang w:eastAsia="en-AU"/>
        </w:rPr>
        <w:t>in attempt to make up lost revenue experienced in high-income countries</w:t>
      </w:r>
      <w:r w:rsidR="007161B4">
        <w:rPr>
          <w:rFonts w:ascii="Segoe UI Light" w:hAnsi="Segoe UI Light" w:cs="Segoe UI Light"/>
          <w:color w:val="000000" w:themeColor="text1"/>
          <w:sz w:val="20"/>
          <w:szCs w:val="20"/>
          <w:lang w:eastAsia="en-AU"/>
        </w:rPr>
        <w:t xml:space="preserve"> and to increase global sales. </w:t>
      </w:r>
      <w:r w:rsidR="00B701E1">
        <w:rPr>
          <w:rFonts w:ascii="Segoe UI Light" w:hAnsi="Segoe UI Light" w:cs="Segoe UI Light"/>
          <w:color w:val="000000" w:themeColor="text1"/>
          <w:sz w:val="20"/>
          <w:szCs w:val="20"/>
          <w:lang w:eastAsia="en-AU"/>
        </w:rPr>
        <w:t>peop</w:t>
      </w:r>
      <w:r w:rsidR="000D633D">
        <w:rPr>
          <w:rFonts w:ascii="Segoe UI Light" w:hAnsi="Segoe UI Light" w:cs="Segoe UI Light"/>
          <w:color w:val="000000" w:themeColor="text1"/>
          <w:sz w:val="20"/>
          <w:szCs w:val="20"/>
          <w:lang w:eastAsia="en-AU"/>
        </w:rPr>
        <w:t>l</w:t>
      </w:r>
      <w:r w:rsidR="00B701E1">
        <w:rPr>
          <w:rFonts w:ascii="Segoe UI Light" w:hAnsi="Segoe UI Light" w:cs="Segoe UI Light"/>
          <w:color w:val="000000" w:themeColor="text1"/>
          <w:sz w:val="20"/>
          <w:szCs w:val="20"/>
          <w:lang w:eastAsia="en-AU"/>
        </w:rPr>
        <w:t xml:space="preserve">e in low-income </w:t>
      </w:r>
      <w:r w:rsidR="000D633D">
        <w:rPr>
          <w:rFonts w:ascii="Segoe UI Light" w:hAnsi="Segoe UI Light" w:cs="Segoe UI Light"/>
          <w:color w:val="000000" w:themeColor="text1"/>
          <w:sz w:val="20"/>
          <w:szCs w:val="20"/>
          <w:lang w:eastAsia="en-AU"/>
        </w:rPr>
        <w:t>countries tend to have lower levels of education, meaning they are more likely to see only the attractive side of the tobacco being marketed wit</w:t>
      </w:r>
      <w:r w:rsidR="00B21183">
        <w:rPr>
          <w:rFonts w:ascii="Segoe UI Light" w:hAnsi="Segoe UI Light" w:cs="Segoe UI Light"/>
          <w:color w:val="000000" w:themeColor="text1"/>
          <w:sz w:val="20"/>
          <w:szCs w:val="20"/>
          <w:lang w:eastAsia="en-AU"/>
        </w:rPr>
        <w:t xml:space="preserve">hout considering the consequences of consumption. </w:t>
      </w:r>
      <w:r w:rsidR="00871C19">
        <w:rPr>
          <w:rFonts w:ascii="Segoe UI Light" w:hAnsi="Segoe UI Light" w:cs="Segoe UI Light"/>
          <w:color w:val="000000" w:themeColor="text1"/>
          <w:sz w:val="20"/>
          <w:szCs w:val="20"/>
          <w:lang w:eastAsia="en-AU"/>
        </w:rPr>
        <w:t xml:space="preserve">these countries </w:t>
      </w:r>
      <w:r w:rsidR="00907F9C">
        <w:rPr>
          <w:rFonts w:ascii="Segoe UI Light" w:hAnsi="Segoe UI Light" w:cs="Segoe UI Light"/>
          <w:color w:val="000000" w:themeColor="text1"/>
          <w:sz w:val="20"/>
          <w:szCs w:val="20"/>
          <w:lang w:eastAsia="en-AU"/>
        </w:rPr>
        <w:t xml:space="preserve">often do not have strict laws or regulations such as </w:t>
      </w:r>
      <w:r w:rsidR="00C37013">
        <w:rPr>
          <w:rFonts w:ascii="Segoe UI Light" w:hAnsi="Segoe UI Light" w:cs="Segoe UI Light"/>
          <w:color w:val="000000" w:themeColor="text1"/>
          <w:sz w:val="20"/>
          <w:szCs w:val="20"/>
          <w:lang w:eastAsia="en-AU"/>
        </w:rPr>
        <w:t xml:space="preserve">no labelling laws, no </w:t>
      </w:r>
      <w:proofErr w:type="gramStart"/>
      <w:r w:rsidR="00C37013">
        <w:rPr>
          <w:rFonts w:ascii="Segoe UI Light" w:hAnsi="Segoe UI Light" w:cs="Segoe UI Light"/>
          <w:color w:val="000000" w:themeColor="text1"/>
          <w:sz w:val="20"/>
          <w:szCs w:val="20"/>
          <w:lang w:eastAsia="en-AU"/>
        </w:rPr>
        <w:t>regulations</w:t>
      </w:r>
      <w:proofErr w:type="gramEnd"/>
      <w:r w:rsidR="00C37013">
        <w:rPr>
          <w:rFonts w:ascii="Segoe UI Light" w:hAnsi="Segoe UI Light" w:cs="Segoe UI Light"/>
          <w:color w:val="000000" w:themeColor="text1"/>
          <w:sz w:val="20"/>
          <w:szCs w:val="20"/>
          <w:lang w:eastAsia="en-AU"/>
        </w:rPr>
        <w:t xml:space="preserve"> and no taxes on imported goods, which makes it easier for manufacturers in high-income countries to sell their brand of tobacco</w:t>
      </w:r>
      <w:r w:rsidR="0090252E">
        <w:rPr>
          <w:rFonts w:ascii="Segoe UI Light" w:hAnsi="Segoe UI Light" w:cs="Segoe UI Light"/>
          <w:color w:val="000000" w:themeColor="text1"/>
          <w:sz w:val="20"/>
          <w:szCs w:val="20"/>
          <w:lang w:eastAsia="en-AU"/>
        </w:rPr>
        <w:t xml:space="preserve"> and tend to make a lot of sales in low-income countries</w:t>
      </w:r>
      <w:r w:rsidR="00D67BBC">
        <w:rPr>
          <w:rFonts w:ascii="Segoe UI Light" w:hAnsi="Segoe UI Light" w:cs="Segoe UI Light"/>
          <w:color w:val="000000" w:themeColor="text1"/>
          <w:sz w:val="20"/>
          <w:szCs w:val="20"/>
          <w:lang w:eastAsia="en-AU"/>
        </w:rPr>
        <w:t xml:space="preserve">. </w:t>
      </w:r>
    </w:p>
    <w:p w14:paraId="24602E5E" w14:textId="77777777" w:rsidR="00F26CAD" w:rsidRDefault="00F26CAD" w:rsidP="00F26CAD">
      <w:pPr>
        <w:pStyle w:val="ListParagraph"/>
        <w:numPr>
          <w:ilvl w:val="0"/>
          <w:numId w:val="1"/>
        </w:numPr>
        <w:autoSpaceDE w:val="0"/>
        <w:autoSpaceDN w:val="0"/>
        <w:adjustRightInd w:val="0"/>
        <w:spacing w:after="180"/>
        <w:ind w:left="0" w:right="-755" w:hanging="284"/>
        <w:rPr>
          <w:color w:val="000000"/>
        </w:rPr>
      </w:pPr>
      <w:r w:rsidRPr="0024106C">
        <w:rPr>
          <w:color w:val="000000"/>
        </w:rPr>
        <w:t xml:space="preserve">Explain how </w:t>
      </w:r>
      <w:r>
        <w:rPr>
          <w:color w:val="000000"/>
        </w:rPr>
        <w:t xml:space="preserve">the </w:t>
      </w:r>
      <w:r w:rsidRPr="0024106C">
        <w:rPr>
          <w:color w:val="000000"/>
        </w:rPr>
        <w:t>marketing of tobacco may influence health and wellbeing</w:t>
      </w:r>
      <w:r>
        <w:rPr>
          <w:color w:val="000000"/>
        </w:rPr>
        <w:t xml:space="preserve"> and burden of disease </w:t>
      </w:r>
    </w:p>
    <w:p w14:paraId="24602E5F" w14:textId="1D7168DB" w:rsidR="00F26CAD" w:rsidRPr="0024106C" w:rsidRDefault="00F26CAD" w:rsidP="00F26CAD">
      <w:pPr>
        <w:pStyle w:val="ListParagraph"/>
        <w:autoSpaceDE w:val="0"/>
        <w:autoSpaceDN w:val="0"/>
        <w:adjustRightInd w:val="0"/>
        <w:spacing w:after="180"/>
        <w:ind w:left="0" w:right="-755"/>
        <w:rPr>
          <w:color w:val="000000"/>
        </w:rPr>
      </w:pPr>
      <w:r>
        <w:rPr>
          <w:color w:val="000000"/>
        </w:rPr>
        <w:t>in low-income countries</w:t>
      </w:r>
      <w:r w:rsidRPr="0024106C">
        <w:rPr>
          <w:color w:val="000000"/>
        </w:rPr>
        <w:t xml:space="preserve">. </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4 marks</w:t>
      </w:r>
    </w:p>
    <w:p w14:paraId="24602E6B" w14:textId="2514781E" w:rsidR="00F26CAD" w:rsidRDefault="00B34D1C" w:rsidP="00B34D1C">
      <w:pPr>
        <w:spacing w:line="360" w:lineRule="auto"/>
        <w:ind w:right="-187"/>
        <w:rPr>
          <w:rFonts w:ascii="Segoe UI Light" w:hAnsi="Segoe UI Light" w:cs="Segoe UI Light"/>
          <w:color w:val="000000" w:themeColor="text1"/>
          <w:sz w:val="20"/>
          <w:szCs w:val="20"/>
          <w:lang w:eastAsia="en-AU"/>
        </w:rPr>
      </w:pPr>
      <w:r w:rsidRPr="00B34D1C">
        <w:rPr>
          <w:rFonts w:ascii="Segoe UI Light" w:hAnsi="Segoe UI Light" w:cs="Segoe UI Light"/>
          <w:color w:val="000000" w:themeColor="text1"/>
          <w:sz w:val="20"/>
          <w:szCs w:val="20"/>
          <w:lang w:eastAsia="en-AU"/>
        </w:rPr>
        <w:t>people</w:t>
      </w:r>
      <w:r w:rsidR="009C5906">
        <w:rPr>
          <w:rFonts w:ascii="Segoe UI Light" w:hAnsi="Segoe UI Light" w:cs="Segoe UI Light"/>
          <w:color w:val="000000" w:themeColor="text1"/>
          <w:sz w:val="20"/>
          <w:szCs w:val="20"/>
          <w:lang w:eastAsia="en-AU"/>
        </w:rPr>
        <w:t xml:space="preserve"> in </w:t>
      </w:r>
      <w:r w:rsidR="00BC78CB">
        <w:rPr>
          <w:rFonts w:ascii="Segoe UI Light" w:hAnsi="Segoe UI Light" w:cs="Segoe UI Light"/>
          <w:color w:val="000000" w:themeColor="text1"/>
          <w:sz w:val="20"/>
          <w:szCs w:val="20"/>
          <w:lang w:eastAsia="en-AU"/>
        </w:rPr>
        <w:t>low-income</w:t>
      </w:r>
      <w:r w:rsidR="009C5906">
        <w:rPr>
          <w:rFonts w:ascii="Segoe UI Light" w:hAnsi="Segoe UI Light" w:cs="Segoe UI Light"/>
          <w:color w:val="000000" w:themeColor="text1"/>
          <w:sz w:val="20"/>
          <w:szCs w:val="20"/>
          <w:lang w:eastAsia="en-AU"/>
        </w:rPr>
        <w:t xml:space="preserve"> countries are more likely to smoke more cigarettes as they are often sold individually and therefore more accessible, potentially leading to atherosclerosis and an increase in DALY’s. </w:t>
      </w:r>
      <w:r w:rsidR="0000143D">
        <w:rPr>
          <w:rFonts w:ascii="Segoe UI Light" w:hAnsi="Segoe UI Light" w:cs="Segoe UI Light"/>
          <w:color w:val="000000" w:themeColor="text1"/>
          <w:sz w:val="20"/>
          <w:szCs w:val="20"/>
          <w:lang w:eastAsia="en-AU"/>
        </w:rPr>
        <w:t>those that are less educated are more likely to start smoking from a young age, which reduces</w:t>
      </w:r>
      <w:r w:rsidR="0003634D">
        <w:rPr>
          <w:rFonts w:ascii="Segoe UI Light" w:hAnsi="Segoe UI Light" w:cs="Segoe UI Light"/>
          <w:color w:val="000000" w:themeColor="text1"/>
          <w:sz w:val="20"/>
          <w:szCs w:val="20"/>
          <w:lang w:eastAsia="en-AU"/>
        </w:rPr>
        <w:t xml:space="preserve"> the</w:t>
      </w:r>
      <w:r w:rsidR="0000143D">
        <w:rPr>
          <w:rFonts w:ascii="Segoe UI Light" w:hAnsi="Segoe UI Light" w:cs="Segoe UI Light"/>
          <w:color w:val="000000" w:themeColor="text1"/>
          <w:sz w:val="20"/>
          <w:szCs w:val="20"/>
          <w:lang w:eastAsia="en-AU"/>
        </w:rPr>
        <w:t xml:space="preserve"> life expectancy</w:t>
      </w:r>
      <w:r w:rsidR="0003634D">
        <w:rPr>
          <w:rFonts w:ascii="Segoe UI Light" w:hAnsi="Segoe UI Light" w:cs="Segoe UI Light"/>
          <w:color w:val="000000" w:themeColor="text1"/>
          <w:sz w:val="20"/>
          <w:szCs w:val="20"/>
          <w:lang w:eastAsia="en-AU"/>
        </w:rPr>
        <w:t xml:space="preserve"> in low-income countries. </w:t>
      </w:r>
      <w:r w:rsidR="00392D64">
        <w:rPr>
          <w:rFonts w:ascii="Segoe UI Light" w:hAnsi="Segoe UI Light" w:cs="Segoe UI Light"/>
          <w:color w:val="000000" w:themeColor="text1"/>
          <w:sz w:val="20"/>
          <w:szCs w:val="20"/>
          <w:lang w:eastAsia="en-AU"/>
        </w:rPr>
        <w:t>there are also likely to be more people who will be breathing in second-hand tobacco smoke, meaning people are likely to suffer from respiratory diseases such as asthma, which decreas</w:t>
      </w:r>
      <w:r w:rsidR="00295FA1">
        <w:rPr>
          <w:rFonts w:ascii="Segoe UI Light" w:hAnsi="Segoe UI Light" w:cs="Segoe UI Light"/>
          <w:color w:val="000000" w:themeColor="text1"/>
          <w:sz w:val="20"/>
          <w:szCs w:val="20"/>
          <w:lang w:eastAsia="en-AU"/>
        </w:rPr>
        <w:t>es the</w:t>
      </w:r>
      <w:r w:rsidR="00392D64">
        <w:rPr>
          <w:rFonts w:ascii="Segoe UI Light" w:hAnsi="Segoe UI Light" w:cs="Segoe UI Light"/>
          <w:color w:val="000000" w:themeColor="text1"/>
          <w:sz w:val="20"/>
          <w:szCs w:val="20"/>
          <w:lang w:eastAsia="en-AU"/>
        </w:rPr>
        <w:t xml:space="preserve"> </w:t>
      </w:r>
      <w:r w:rsidR="00295FA1">
        <w:rPr>
          <w:rFonts w:ascii="Segoe UI Light" w:hAnsi="Segoe UI Light" w:cs="Segoe UI Light"/>
          <w:color w:val="000000" w:themeColor="text1"/>
          <w:sz w:val="20"/>
          <w:szCs w:val="20"/>
          <w:lang w:eastAsia="en-AU"/>
        </w:rPr>
        <w:t xml:space="preserve">health adjusted life expectancy for these countries. </w:t>
      </w:r>
    </w:p>
    <w:p w14:paraId="5C502636" w14:textId="77777777" w:rsidR="00784D80" w:rsidRPr="00B34D1C" w:rsidRDefault="00784D80" w:rsidP="00B34D1C">
      <w:pPr>
        <w:spacing w:line="360" w:lineRule="auto"/>
        <w:ind w:right="-187"/>
        <w:rPr>
          <w:rFonts w:ascii="Segoe UI Light" w:hAnsi="Segoe UI Light" w:cs="Segoe UI Light"/>
          <w:color w:val="000000" w:themeColor="text1"/>
          <w:sz w:val="20"/>
          <w:szCs w:val="20"/>
          <w:lang w:eastAsia="en-AU"/>
        </w:rPr>
      </w:pPr>
    </w:p>
    <w:p w14:paraId="24602E6C" w14:textId="7EDE7932" w:rsidR="001D5648" w:rsidRDefault="00F26CAD" w:rsidP="00F26CAD">
      <w:pPr>
        <w:ind w:left="-284"/>
      </w:pPr>
      <w:r w:rsidRPr="00D70CC6">
        <w:rPr>
          <w:b/>
        </w:rPr>
        <w:t xml:space="preserve">Question </w:t>
      </w:r>
      <w:proofErr w:type="gramStart"/>
      <w:r>
        <w:rPr>
          <w:b/>
        </w:rPr>
        <w:t>4</w:t>
      </w:r>
      <w:r>
        <w:t xml:space="preserve">  (</w:t>
      </w:r>
      <w:proofErr w:type="gramEnd"/>
      <w:r>
        <w:t>17 marks)</w:t>
      </w:r>
    </w:p>
    <w:p w14:paraId="24602E6D" w14:textId="77777777" w:rsidR="00F26CAD" w:rsidRPr="00060583" w:rsidRDefault="00F26CAD" w:rsidP="00F26CAD">
      <w:pPr>
        <w:ind w:left="-284"/>
      </w:pPr>
      <w:r w:rsidRPr="00060583">
        <w:t>Climate change contributes to extreme weather events</w:t>
      </w:r>
      <w:r>
        <w:t xml:space="preserve">, including natural disasters. </w:t>
      </w:r>
    </w:p>
    <w:p w14:paraId="24602E6F" w14:textId="58349810" w:rsidR="00F26CAD" w:rsidRPr="00D124DE" w:rsidRDefault="00F26CAD" w:rsidP="00E566FA">
      <w:pPr>
        <w:pStyle w:val="NoSpacing"/>
        <w:ind w:left="-284"/>
        <w:rPr>
          <w:rFonts w:ascii="Times New Roman" w:hAnsi="Times New Roman" w:cs="Times New Roman"/>
        </w:rPr>
      </w:pPr>
      <w:r w:rsidRPr="00D124DE">
        <w:rPr>
          <w:rFonts w:ascii="Times New Roman" w:hAnsi="Times New Roman" w:cs="Times New Roman"/>
          <w:b/>
        </w:rPr>
        <w:t xml:space="preserve">Source 1: </w:t>
      </w:r>
      <w:r w:rsidR="001D5648">
        <w:rPr>
          <w:rFonts w:ascii="Times New Roman" w:hAnsi="Times New Roman" w:cs="Times New Roman"/>
          <w:b/>
        </w:rPr>
        <w:t xml:space="preserve"> </w:t>
      </w:r>
      <w:r w:rsidRPr="00D124DE">
        <w:rPr>
          <w:rFonts w:ascii="Times New Roman" w:hAnsi="Times New Roman" w:cs="Times New Roman"/>
        </w:rPr>
        <w:t xml:space="preserve">The following image shows the types of events that are a part of each subgroup of natural disasters: </w:t>
      </w:r>
    </w:p>
    <w:p w14:paraId="24602E70" w14:textId="77777777" w:rsidR="00F26CAD" w:rsidRPr="00D124DE" w:rsidRDefault="00F26CAD" w:rsidP="00F26CAD">
      <w:pPr>
        <w:pStyle w:val="NoSpacing"/>
        <w:jc w:val="center"/>
        <w:rPr>
          <w:rFonts w:ascii="Times New Roman" w:hAnsi="Times New Roman" w:cs="Times New Roman"/>
        </w:rPr>
      </w:pPr>
      <w:r w:rsidRPr="00D124DE">
        <w:rPr>
          <w:rFonts w:ascii="Times New Roman" w:hAnsi="Times New Roman" w:cs="Times New Roman"/>
          <w:noProof/>
          <w:lang w:eastAsia="en-AU"/>
        </w:rPr>
        <w:drawing>
          <wp:inline distT="0" distB="0" distL="0" distR="0" wp14:anchorId="24602F18" wp14:editId="7115E301">
            <wp:extent cx="3971601" cy="212661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4040" cy="2181467"/>
                    </a:xfrm>
                    <a:prstGeom prst="rect">
                      <a:avLst/>
                    </a:prstGeom>
                  </pic:spPr>
                </pic:pic>
              </a:graphicData>
            </a:graphic>
          </wp:inline>
        </w:drawing>
      </w:r>
    </w:p>
    <w:p w14:paraId="24602E71" w14:textId="77777777" w:rsidR="00F26CAD" w:rsidRPr="00D124DE" w:rsidRDefault="00F26CAD" w:rsidP="00F26CAD">
      <w:pPr>
        <w:pStyle w:val="NoSpacing"/>
        <w:jc w:val="right"/>
        <w:rPr>
          <w:rFonts w:ascii="Times New Roman" w:hAnsi="Times New Roman" w:cs="Times New Roman"/>
          <w:sz w:val="18"/>
        </w:rPr>
      </w:pPr>
      <w:r w:rsidRPr="00D124DE">
        <w:rPr>
          <w:rFonts w:ascii="Times New Roman" w:hAnsi="Times New Roman" w:cs="Times New Roman"/>
          <w:sz w:val="18"/>
        </w:rPr>
        <w:t xml:space="preserve">Source: Guha-Sapir D, </w:t>
      </w:r>
      <w:proofErr w:type="spellStart"/>
      <w:r w:rsidRPr="00D124DE">
        <w:rPr>
          <w:rFonts w:ascii="Times New Roman" w:hAnsi="Times New Roman" w:cs="Times New Roman"/>
          <w:sz w:val="18"/>
        </w:rPr>
        <w:t>Hoyois</w:t>
      </w:r>
      <w:proofErr w:type="spellEnd"/>
      <w:r w:rsidRPr="00D124DE">
        <w:rPr>
          <w:rFonts w:ascii="Times New Roman" w:hAnsi="Times New Roman" w:cs="Times New Roman"/>
          <w:sz w:val="18"/>
        </w:rPr>
        <w:t xml:space="preserve"> Ph., Below. R. Annual Disaster Statistical Review 2016: The Numbers and Trends, 2016.</w:t>
      </w:r>
    </w:p>
    <w:p w14:paraId="24602E72" w14:textId="77777777" w:rsidR="00F26CAD" w:rsidRPr="004C7781" w:rsidRDefault="00F26CAD" w:rsidP="00F26CAD">
      <w:pPr>
        <w:pStyle w:val="NoSpacing"/>
        <w:rPr>
          <w:rFonts w:ascii="Times New Roman" w:hAnsi="Times New Roman" w:cs="Times New Roman"/>
          <w:b/>
          <w:sz w:val="8"/>
        </w:rPr>
      </w:pPr>
    </w:p>
    <w:p w14:paraId="3FA9D14F" w14:textId="77777777" w:rsidR="00EA0D92" w:rsidRDefault="00EA0D92" w:rsidP="00F26CAD">
      <w:pPr>
        <w:pStyle w:val="NoSpacing"/>
        <w:rPr>
          <w:rFonts w:ascii="Times New Roman" w:hAnsi="Times New Roman" w:cs="Times New Roman"/>
          <w:b/>
        </w:rPr>
      </w:pPr>
    </w:p>
    <w:p w14:paraId="64914EB2" w14:textId="77777777" w:rsidR="00EA0D92" w:rsidRDefault="00EA0D92" w:rsidP="00F26CAD">
      <w:pPr>
        <w:pStyle w:val="NoSpacing"/>
        <w:rPr>
          <w:rFonts w:ascii="Times New Roman" w:hAnsi="Times New Roman" w:cs="Times New Roman"/>
          <w:b/>
        </w:rPr>
      </w:pPr>
    </w:p>
    <w:p w14:paraId="47B833C1" w14:textId="77777777" w:rsidR="00EA0D92" w:rsidRDefault="00EA0D92" w:rsidP="00F26CAD">
      <w:pPr>
        <w:pStyle w:val="NoSpacing"/>
        <w:rPr>
          <w:rFonts w:ascii="Times New Roman" w:hAnsi="Times New Roman" w:cs="Times New Roman"/>
          <w:b/>
        </w:rPr>
      </w:pPr>
    </w:p>
    <w:p w14:paraId="094FE262" w14:textId="77777777" w:rsidR="00EA0D92" w:rsidRDefault="00EA0D92" w:rsidP="00F26CAD">
      <w:pPr>
        <w:pStyle w:val="NoSpacing"/>
        <w:rPr>
          <w:rFonts w:ascii="Times New Roman" w:hAnsi="Times New Roman" w:cs="Times New Roman"/>
          <w:b/>
        </w:rPr>
      </w:pPr>
    </w:p>
    <w:p w14:paraId="6B0B13AA" w14:textId="77777777" w:rsidR="00EA0D92" w:rsidRDefault="00EA0D92" w:rsidP="00F26CAD">
      <w:pPr>
        <w:pStyle w:val="NoSpacing"/>
        <w:rPr>
          <w:rFonts w:ascii="Times New Roman" w:hAnsi="Times New Roman" w:cs="Times New Roman"/>
          <w:b/>
        </w:rPr>
      </w:pPr>
    </w:p>
    <w:p w14:paraId="30E57FA2" w14:textId="77777777" w:rsidR="00EA0D92" w:rsidRDefault="00EA0D92" w:rsidP="00F26CAD">
      <w:pPr>
        <w:pStyle w:val="NoSpacing"/>
        <w:rPr>
          <w:rFonts w:ascii="Times New Roman" w:hAnsi="Times New Roman" w:cs="Times New Roman"/>
          <w:b/>
        </w:rPr>
      </w:pPr>
    </w:p>
    <w:p w14:paraId="24602E73" w14:textId="22018F5C" w:rsidR="00F26CAD" w:rsidRPr="00D124DE" w:rsidRDefault="00F26CAD" w:rsidP="00F26CAD">
      <w:pPr>
        <w:pStyle w:val="NoSpacing"/>
        <w:rPr>
          <w:rFonts w:ascii="Times New Roman" w:hAnsi="Times New Roman" w:cs="Times New Roman"/>
          <w:b/>
        </w:rPr>
      </w:pPr>
      <w:r w:rsidRPr="00D124DE">
        <w:rPr>
          <w:rFonts w:ascii="Times New Roman" w:hAnsi="Times New Roman" w:cs="Times New Roman"/>
          <w:b/>
        </w:rPr>
        <w:lastRenderedPageBreak/>
        <w:t xml:space="preserve">Source </w:t>
      </w:r>
      <w:r>
        <w:rPr>
          <w:rFonts w:ascii="Times New Roman" w:hAnsi="Times New Roman" w:cs="Times New Roman"/>
          <w:b/>
        </w:rPr>
        <w:t>2</w:t>
      </w:r>
      <w:r w:rsidRPr="00D124DE">
        <w:rPr>
          <w:rFonts w:ascii="Times New Roman" w:hAnsi="Times New Roman" w:cs="Times New Roman"/>
          <w:b/>
        </w:rPr>
        <w:t xml:space="preserve">: </w:t>
      </w:r>
    </w:p>
    <w:p w14:paraId="24602E74" w14:textId="77777777" w:rsidR="00F26CAD" w:rsidRPr="004C7781" w:rsidRDefault="00F26CAD" w:rsidP="00F26CAD">
      <w:pPr>
        <w:pStyle w:val="NoSpacing"/>
        <w:rPr>
          <w:rFonts w:ascii="Times New Roman" w:hAnsi="Times New Roman" w:cs="Times New Roman"/>
          <w:b/>
          <w:sz w:val="16"/>
        </w:rPr>
      </w:pPr>
    </w:p>
    <w:p w14:paraId="24602E75" w14:textId="77777777" w:rsidR="00F26CAD" w:rsidRPr="00D124DE" w:rsidRDefault="00F26CAD" w:rsidP="00F26CAD">
      <w:pPr>
        <w:pStyle w:val="NoSpacing"/>
        <w:rPr>
          <w:rFonts w:ascii="Times New Roman" w:hAnsi="Times New Roman" w:cs="Times New Roman"/>
        </w:rPr>
      </w:pPr>
      <w:r w:rsidRPr="00D124DE">
        <w:rPr>
          <w:rFonts w:ascii="Times New Roman" w:hAnsi="Times New Roman" w:cs="Times New Roman"/>
        </w:rPr>
        <w:t xml:space="preserve">The following graph shows the number of extreme weather events (according to the subgroup of events experienced) and the number of deaths from those events that occurred in 2016 in India and the USA. </w:t>
      </w:r>
    </w:p>
    <w:p w14:paraId="24602E76" w14:textId="77777777" w:rsidR="00F26CAD" w:rsidRPr="00D124DE" w:rsidRDefault="00F26CAD" w:rsidP="00F26CAD">
      <w:pPr>
        <w:pStyle w:val="NoSpacing"/>
        <w:jc w:val="center"/>
        <w:rPr>
          <w:rFonts w:ascii="Times New Roman" w:hAnsi="Times New Roman" w:cs="Times New Roman"/>
        </w:rPr>
      </w:pPr>
      <w:r w:rsidRPr="00D124DE">
        <w:rPr>
          <w:rFonts w:ascii="Times New Roman" w:hAnsi="Times New Roman" w:cs="Times New Roman"/>
          <w:noProof/>
          <w:lang w:eastAsia="en-AU"/>
        </w:rPr>
        <w:drawing>
          <wp:inline distT="0" distB="0" distL="0" distR="0" wp14:anchorId="24602F1A" wp14:editId="547CD311">
            <wp:extent cx="5254625" cy="3210128"/>
            <wp:effectExtent l="0" t="0" r="3175" b="31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602E77" w14:textId="77777777" w:rsidR="00F26CAD" w:rsidRPr="004C7781" w:rsidRDefault="00F26CAD" w:rsidP="00F26CAD">
      <w:pPr>
        <w:pStyle w:val="NoSpacing"/>
        <w:jc w:val="right"/>
        <w:rPr>
          <w:rFonts w:ascii="Times New Roman" w:hAnsi="Times New Roman" w:cs="Times New Roman"/>
          <w:sz w:val="18"/>
        </w:rPr>
      </w:pPr>
      <w:r w:rsidRPr="004C7781">
        <w:rPr>
          <w:rFonts w:ascii="Times New Roman" w:hAnsi="Times New Roman" w:cs="Times New Roman"/>
          <w:sz w:val="18"/>
        </w:rPr>
        <w:t xml:space="preserve">Source: Adapted from </w:t>
      </w:r>
      <w:hyperlink r:id="rId12" w:history="1">
        <w:r w:rsidRPr="004C7781">
          <w:rPr>
            <w:rStyle w:val="Hyperlink"/>
            <w:rFonts w:ascii="Times New Roman" w:hAnsi="Times New Roman" w:cs="Times New Roman"/>
            <w:sz w:val="18"/>
          </w:rPr>
          <w:t>http://www.cred.be/sites/default/files/ADSR_2016.pdf</w:t>
        </w:r>
      </w:hyperlink>
      <w:r w:rsidRPr="004C7781">
        <w:rPr>
          <w:rFonts w:ascii="Times New Roman" w:hAnsi="Times New Roman" w:cs="Times New Roman"/>
          <w:sz w:val="18"/>
        </w:rPr>
        <w:t xml:space="preserve"> </w:t>
      </w:r>
    </w:p>
    <w:p w14:paraId="24602E78" w14:textId="77777777" w:rsidR="00F26CAD" w:rsidRPr="004C7781" w:rsidRDefault="00F26CAD" w:rsidP="00F26CAD">
      <w:pPr>
        <w:pStyle w:val="NoSpacing"/>
        <w:rPr>
          <w:rFonts w:ascii="Times New Roman" w:hAnsi="Times New Roman" w:cs="Times New Roman"/>
          <w:sz w:val="12"/>
        </w:rPr>
      </w:pPr>
    </w:p>
    <w:p w14:paraId="24602E79" w14:textId="77777777" w:rsidR="00F26CAD" w:rsidRPr="00D124DE" w:rsidRDefault="00F26CAD" w:rsidP="00F26CAD">
      <w:pPr>
        <w:pStyle w:val="NoSpacing"/>
        <w:rPr>
          <w:rFonts w:ascii="Times New Roman" w:hAnsi="Times New Roman" w:cs="Times New Roman"/>
        </w:rPr>
      </w:pPr>
      <w:r w:rsidRPr="00D124DE">
        <w:rPr>
          <w:rFonts w:ascii="Times New Roman" w:hAnsi="Times New Roman" w:cs="Times New Roman"/>
          <w:b/>
        </w:rPr>
        <w:t xml:space="preserve">Source 3: </w:t>
      </w:r>
    </w:p>
    <w:tbl>
      <w:tblPr>
        <w:tblStyle w:val="TableGrid"/>
        <w:tblW w:w="0" w:type="auto"/>
        <w:jc w:val="center"/>
        <w:tblLook w:val="04A0" w:firstRow="1" w:lastRow="0" w:firstColumn="1" w:lastColumn="0" w:noHBand="0" w:noVBand="1"/>
      </w:tblPr>
      <w:tblGrid>
        <w:gridCol w:w="828"/>
        <w:gridCol w:w="2428"/>
        <w:gridCol w:w="2301"/>
      </w:tblGrid>
      <w:tr w:rsidR="00F26CAD" w:rsidRPr="00D124DE" w14:paraId="24602E7D" w14:textId="77777777" w:rsidTr="00F31C9E">
        <w:trPr>
          <w:jc w:val="center"/>
        </w:trPr>
        <w:tc>
          <w:tcPr>
            <w:tcW w:w="828" w:type="dxa"/>
          </w:tcPr>
          <w:p w14:paraId="24602E7A" w14:textId="77777777" w:rsidR="00F26CAD" w:rsidRPr="00D124DE" w:rsidRDefault="00F26CAD" w:rsidP="00F31C9E">
            <w:pPr>
              <w:pStyle w:val="NoSpacing"/>
              <w:rPr>
                <w:rFonts w:ascii="Times New Roman" w:hAnsi="Times New Roman" w:cs="Times New Roman"/>
              </w:rPr>
            </w:pPr>
          </w:p>
        </w:tc>
        <w:tc>
          <w:tcPr>
            <w:tcW w:w="2428" w:type="dxa"/>
          </w:tcPr>
          <w:p w14:paraId="24602E7B" w14:textId="77777777" w:rsidR="00F26CAD" w:rsidRPr="00D124DE" w:rsidRDefault="00F26CAD" w:rsidP="00F31C9E">
            <w:pPr>
              <w:pStyle w:val="NoSpacing"/>
              <w:jc w:val="center"/>
              <w:rPr>
                <w:rFonts w:ascii="Times New Roman" w:hAnsi="Times New Roman" w:cs="Times New Roman"/>
                <w:b/>
              </w:rPr>
            </w:pPr>
            <w:r w:rsidRPr="00D124DE">
              <w:rPr>
                <w:rFonts w:ascii="Times New Roman" w:hAnsi="Times New Roman" w:cs="Times New Roman"/>
                <w:b/>
              </w:rPr>
              <w:t>Average income (US$)</w:t>
            </w:r>
          </w:p>
        </w:tc>
        <w:tc>
          <w:tcPr>
            <w:tcW w:w="2301" w:type="dxa"/>
          </w:tcPr>
          <w:p w14:paraId="24602E7C" w14:textId="77777777" w:rsidR="00F26CAD" w:rsidRPr="00D124DE" w:rsidRDefault="00F26CAD" w:rsidP="00F31C9E">
            <w:pPr>
              <w:pStyle w:val="NoSpacing"/>
              <w:jc w:val="center"/>
              <w:rPr>
                <w:rFonts w:ascii="Times New Roman" w:hAnsi="Times New Roman" w:cs="Times New Roman"/>
                <w:b/>
              </w:rPr>
            </w:pPr>
            <w:r w:rsidRPr="00D124DE">
              <w:rPr>
                <w:rFonts w:ascii="Times New Roman" w:hAnsi="Times New Roman" w:cs="Times New Roman"/>
                <w:b/>
              </w:rPr>
              <w:t>Population (number)</w:t>
            </w:r>
          </w:p>
        </w:tc>
      </w:tr>
      <w:tr w:rsidR="00F26CAD" w:rsidRPr="00D124DE" w14:paraId="24602E81" w14:textId="77777777" w:rsidTr="00F31C9E">
        <w:trPr>
          <w:jc w:val="center"/>
        </w:trPr>
        <w:tc>
          <w:tcPr>
            <w:tcW w:w="828" w:type="dxa"/>
          </w:tcPr>
          <w:p w14:paraId="24602E7E" w14:textId="77777777" w:rsidR="00F26CAD" w:rsidRPr="00D124DE" w:rsidRDefault="00F26CAD" w:rsidP="00F31C9E">
            <w:pPr>
              <w:pStyle w:val="NoSpacing"/>
              <w:jc w:val="center"/>
              <w:rPr>
                <w:rFonts w:ascii="Times New Roman" w:hAnsi="Times New Roman" w:cs="Times New Roman"/>
                <w:b/>
              </w:rPr>
            </w:pPr>
            <w:r w:rsidRPr="00D124DE">
              <w:rPr>
                <w:rFonts w:ascii="Times New Roman" w:hAnsi="Times New Roman" w:cs="Times New Roman"/>
                <w:b/>
              </w:rPr>
              <w:t>India</w:t>
            </w:r>
          </w:p>
        </w:tc>
        <w:tc>
          <w:tcPr>
            <w:tcW w:w="2428" w:type="dxa"/>
          </w:tcPr>
          <w:p w14:paraId="24602E7F" w14:textId="77777777" w:rsidR="00F26CAD" w:rsidRPr="00FD3AA9" w:rsidRDefault="00F26CAD" w:rsidP="00F31C9E">
            <w:pPr>
              <w:pStyle w:val="NoSpacing"/>
              <w:jc w:val="center"/>
              <w:rPr>
                <w:rFonts w:ascii="Times New Roman" w:hAnsi="Times New Roman" w:cs="Times New Roman"/>
              </w:rPr>
            </w:pPr>
            <w:r w:rsidRPr="00FD3AA9">
              <w:rPr>
                <w:rFonts w:ascii="Times New Roman" w:hAnsi="Times New Roman" w:cs="Times New Roman"/>
              </w:rPr>
              <w:t>1 706</w:t>
            </w:r>
          </w:p>
        </w:tc>
        <w:tc>
          <w:tcPr>
            <w:tcW w:w="2301" w:type="dxa"/>
          </w:tcPr>
          <w:p w14:paraId="24602E80" w14:textId="77777777" w:rsidR="00F26CAD" w:rsidRPr="00FD3AA9" w:rsidRDefault="00F26CAD" w:rsidP="00F31C9E">
            <w:pPr>
              <w:pStyle w:val="NoSpacing"/>
              <w:jc w:val="center"/>
              <w:rPr>
                <w:rFonts w:ascii="Times New Roman" w:hAnsi="Times New Roman" w:cs="Times New Roman"/>
              </w:rPr>
            </w:pPr>
            <w:r w:rsidRPr="00FD3AA9">
              <w:rPr>
                <w:rFonts w:ascii="Times New Roman" w:hAnsi="Times New Roman" w:cs="Times New Roman"/>
                <w:shd w:val="clear" w:color="auto" w:fill="F8F9FA"/>
              </w:rPr>
              <w:t>1 324 171 350</w:t>
            </w:r>
          </w:p>
        </w:tc>
      </w:tr>
      <w:tr w:rsidR="00F26CAD" w:rsidRPr="00D124DE" w14:paraId="24602E85" w14:textId="77777777" w:rsidTr="00F31C9E">
        <w:trPr>
          <w:trHeight w:val="58"/>
          <w:jc w:val="center"/>
        </w:trPr>
        <w:tc>
          <w:tcPr>
            <w:tcW w:w="828" w:type="dxa"/>
          </w:tcPr>
          <w:p w14:paraId="24602E82" w14:textId="77777777" w:rsidR="00F26CAD" w:rsidRPr="00D124DE" w:rsidRDefault="00F26CAD" w:rsidP="00F31C9E">
            <w:pPr>
              <w:pStyle w:val="NoSpacing"/>
              <w:jc w:val="center"/>
              <w:rPr>
                <w:rFonts w:ascii="Times New Roman" w:hAnsi="Times New Roman" w:cs="Times New Roman"/>
                <w:b/>
              </w:rPr>
            </w:pPr>
            <w:r w:rsidRPr="00D124DE">
              <w:rPr>
                <w:rFonts w:ascii="Times New Roman" w:hAnsi="Times New Roman" w:cs="Times New Roman"/>
                <w:b/>
              </w:rPr>
              <w:t>USA</w:t>
            </w:r>
          </w:p>
        </w:tc>
        <w:tc>
          <w:tcPr>
            <w:tcW w:w="2428" w:type="dxa"/>
          </w:tcPr>
          <w:p w14:paraId="24602E83" w14:textId="77777777" w:rsidR="00F26CAD" w:rsidRPr="00FD3AA9" w:rsidRDefault="00F26CAD" w:rsidP="00F31C9E">
            <w:pPr>
              <w:pStyle w:val="NoSpacing"/>
              <w:jc w:val="center"/>
              <w:rPr>
                <w:rFonts w:ascii="Times New Roman" w:hAnsi="Times New Roman" w:cs="Times New Roman"/>
              </w:rPr>
            </w:pPr>
            <w:r w:rsidRPr="00FD3AA9">
              <w:rPr>
                <w:rFonts w:ascii="Times New Roman" w:hAnsi="Times New Roman" w:cs="Times New Roman"/>
              </w:rPr>
              <w:t>57 638</w:t>
            </w:r>
          </w:p>
        </w:tc>
        <w:tc>
          <w:tcPr>
            <w:tcW w:w="2301" w:type="dxa"/>
          </w:tcPr>
          <w:p w14:paraId="24602E84" w14:textId="77777777" w:rsidR="00F26CAD" w:rsidRPr="00FD3AA9" w:rsidRDefault="00F26CAD" w:rsidP="00F31C9E">
            <w:pPr>
              <w:pStyle w:val="NoSpacing"/>
              <w:jc w:val="center"/>
              <w:rPr>
                <w:rFonts w:ascii="Times New Roman" w:hAnsi="Times New Roman" w:cs="Times New Roman"/>
              </w:rPr>
            </w:pPr>
            <w:r w:rsidRPr="00FD3AA9">
              <w:rPr>
                <w:rFonts w:ascii="Times New Roman" w:hAnsi="Times New Roman" w:cs="Times New Roman"/>
                <w:shd w:val="clear" w:color="auto" w:fill="F8F9FA"/>
              </w:rPr>
              <w:t>323 127 510</w:t>
            </w:r>
          </w:p>
        </w:tc>
      </w:tr>
    </w:tbl>
    <w:p w14:paraId="24602E86" w14:textId="77777777" w:rsidR="00F26CAD" w:rsidRPr="004C7781" w:rsidRDefault="001D5648" w:rsidP="00F26CAD">
      <w:pPr>
        <w:pStyle w:val="NoSpacing"/>
        <w:jc w:val="right"/>
        <w:rPr>
          <w:rFonts w:ascii="Times New Roman" w:hAnsi="Times New Roman" w:cs="Times New Roman"/>
          <w:sz w:val="18"/>
        </w:rPr>
      </w:pPr>
      <w:r>
        <w:rPr>
          <w:rFonts w:ascii="Times New Roman" w:hAnsi="Times New Roman" w:cs="Times New Roman"/>
          <w:sz w:val="18"/>
        </w:rPr>
        <w:t>S</w:t>
      </w:r>
      <w:r w:rsidR="00F26CAD" w:rsidRPr="004C7781">
        <w:rPr>
          <w:rFonts w:ascii="Times New Roman" w:hAnsi="Times New Roman" w:cs="Times New Roman"/>
          <w:sz w:val="18"/>
        </w:rPr>
        <w:t xml:space="preserve">ource: World Bank, 2018. </w:t>
      </w:r>
    </w:p>
    <w:p w14:paraId="24602E87" w14:textId="77777777" w:rsidR="00F26CAD" w:rsidRDefault="00F26CAD" w:rsidP="00F26CAD">
      <w:pPr>
        <w:pStyle w:val="NoSpacing"/>
        <w:numPr>
          <w:ilvl w:val="0"/>
          <w:numId w:val="4"/>
        </w:numPr>
        <w:ind w:left="0" w:right="-755" w:hanging="284"/>
        <w:rPr>
          <w:rFonts w:ascii="Times New Roman" w:hAnsi="Times New Roman" w:cs="Times New Roman"/>
        </w:rPr>
      </w:pPr>
      <w:r>
        <w:rPr>
          <w:rFonts w:ascii="Times New Roman" w:hAnsi="Times New Roman" w:cs="Times New Roman"/>
        </w:rPr>
        <w:t>Outline</w:t>
      </w:r>
      <w:r w:rsidRPr="00D124DE">
        <w:rPr>
          <w:rFonts w:ascii="Times New Roman" w:hAnsi="Times New Roman" w:cs="Times New Roman"/>
        </w:rPr>
        <w:t xml:space="preserve"> the difference in the </w:t>
      </w:r>
      <w:r>
        <w:rPr>
          <w:rFonts w:ascii="Times New Roman" w:hAnsi="Times New Roman" w:cs="Times New Roman"/>
        </w:rPr>
        <w:t xml:space="preserve">total </w:t>
      </w:r>
      <w:r w:rsidRPr="00D124DE">
        <w:rPr>
          <w:rFonts w:ascii="Times New Roman" w:hAnsi="Times New Roman" w:cs="Times New Roman"/>
        </w:rPr>
        <w:t xml:space="preserve">number of natural disasters and the number of deaths from those </w:t>
      </w:r>
    </w:p>
    <w:p w14:paraId="24602E88" w14:textId="77777777" w:rsidR="00F26CAD" w:rsidRPr="00D124DE" w:rsidRDefault="00F26CAD" w:rsidP="00F26CAD">
      <w:pPr>
        <w:pStyle w:val="NoSpacing"/>
        <w:ind w:right="-755"/>
        <w:rPr>
          <w:rFonts w:ascii="Times New Roman" w:hAnsi="Times New Roman" w:cs="Times New Roman"/>
        </w:rPr>
      </w:pPr>
      <w:r>
        <w:rPr>
          <w:rFonts w:ascii="Times New Roman" w:hAnsi="Times New Roman" w:cs="Times New Roman"/>
        </w:rPr>
        <w:t>disasters in</w:t>
      </w:r>
      <w:r w:rsidRPr="00D124DE">
        <w:rPr>
          <w:rFonts w:ascii="Times New Roman" w:hAnsi="Times New Roman" w:cs="Times New Roman"/>
        </w:rPr>
        <w:t xml:space="preserve"> India compared to the USA. </w:t>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Pr>
          <w:rFonts w:ascii="Times New Roman" w:hAnsi="Times New Roman" w:cs="Times New Roman"/>
        </w:rPr>
        <w:t xml:space="preserve">                                  </w:t>
      </w:r>
      <w:r w:rsidRPr="00D124DE">
        <w:rPr>
          <w:rFonts w:ascii="Times New Roman" w:hAnsi="Times New Roman" w:cs="Times New Roman"/>
        </w:rPr>
        <w:t>2 marks</w:t>
      </w:r>
    </w:p>
    <w:p w14:paraId="24602E89" w14:textId="77777777" w:rsidR="00F26CAD" w:rsidRDefault="00F26CAD" w:rsidP="00F26CAD">
      <w:pPr>
        <w:pStyle w:val="NoSpacing"/>
        <w:ind w:right="-755" w:hanging="284"/>
        <w:rPr>
          <w:rFonts w:ascii="Times New Roman" w:hAnsi="Times New Roman" w:cs="Times New Roman"/>
        </w:rPr>
      </w:pPr>
    </w:p>
    <w:p w14:paraId="49E0A560" w14:textId="4800F954" w:rsidR="00C81F3D" w:rsidRPr="00DA39A8" w:rsidRDefault="00DA39A8" w:rsidP="00DA39A8">
      <w:pPr>
        <w:spacing w:line="360" w:lineRule="auto"/>
        <w:ind w:right="-187"/>
        <w:rPr>
          <w:rFonts w:ascii="Segoe UI Light" w:hAnsi="Segoe UI Light" w:cs="Segoe UI Light"/>
          <w:color w:val="000000" w:themeColor="text1"/>
          <w:sz w:val="20"/>
          <w:szCs w:val="20"/>
          <w:lang w:eastAsia="en-AU"/>
        </w:rPr>
      </w:pPr>
      <w:r w:rsidRPr="00DA39A8">
        <w:rPr>
          <w:rFonts w:ascii="Segoe UI Light" w:hAnsi="Segoe UI Light" w:cs="Segoe UI Light"/>
          <w:color w:val="000000" w:themeColor="text1"/>
          <w:sz w:val="20"/>
          <w:szCs w:val="20"/>
          <w:lang w:eastAsia="en-AU"/>
        </w:rPr>
        <w:t>the</w:t>
      </w:r>
      <w:r>
        <w:rPr>
          <w:rFonts w:ascii="Segoe UI Light" w:hAnsi="Segoe UI Light" w:cs="Segoe UI Light"/>
          <w:color w:val="000000" w:themeColor="text1"/>
          <w:sz w:val="20"/>
          <w:szCs w:val="20"/>
          <w:lang w:eastAsia="en-AU"/>
        </w:rPr>
        <w:t xml:space="preserve"> trend </w:t>
      </w:r>
      <w:r w:rsidR="0076206A">
        <w:rPr>
          <w:rFonts w:ascii="Segoe UI Light" w:hAnsi="Segoe UI Light" w:cs="Segoe UI Light"/>
          <w:color w:val="000000" w:themeColor="text1"/>
          <w:sz w:val="20"/>
          <w:szCs w:val="20"/>
          <w:lang w:eastAsia="en-AU"/>
        </w:rPr>
        <w:t xml:space="preserve">between india and the </w:t>
      </w:r>
      <w:proofErr w:type="gramStart"/>
      <w:r w:rsidR="0076206A">
        <w:rPr>
          <w:rFonts w:ascii="Segoe UI Light" w:hAnsi="Segoe UI Light" w:cs="Segoe UI Light"/>
          <w:color w:val="000000" w:themeColor="text1"/>
          <w:sz w:val="20"/>
          <w:szCs w:val="20"/>
          <w:lang w:eastAsia="en-AU"/>
        </w:rPr>
        <w:t>united states</w:t>
      </w:r>
      <w:proofErr w:type="gramEnd"/>
      <w:r w:rsidR="0076206A">
        <w:rPr>
          <w:rFonts w:ascii="Segoe UI Light" w:hAnsi="Segoe UI Light" w:cs="Segoe UI Light"/>
          <w:color w:val="000000" w:themeColor="text1"/>
          <w:sz w:val="20"/>
          <w:szCs w:val="20"/>
          <w:lang w:eastAsia="en-AU"/>
        </w:rPr>
        <w:t xml:space="preserve"> </w:t>
      </w:r>
      <w:r>
        <w:rPr>
          <w:rFonts w:ascii="Segoe UI Light" w:hAnsi="Segoe UI Light" w:cs="Segoe UI Light"/>
          <w:color w:val="000000" w:themeColor="text1"/>
          <w:sz w:val="20"/>
          <w:szCs w:val="20"/>
          <w:lang w:eastAsia="en-AU"/>
        </w:rPr>
        <w:t xml:space="preserve">shown </w:t>
      </w:r>
      <w:r w:rsidR="006F12D6">
        <w:rPr>
          <w:rFonts w:ascii="Segoe UI Light" w:hAnsi="Segoe UI Light" w:cs="Segoe UI Light"/>
          <w:color w:val="000000" w:themeColor="text1"/>
          <w:sz w:val="20"/>
          <w:szCs w:val="20"/>
          <w:lang w:eastAsia="en-AU"/>
        </w:rPr>
        <w:t xml:space="preserve">in the graph </w:t>
      </w:r>
      <w:r w:rsidR="009E6132">
        <w:rPr>
          <w:rFonts w:ascii="Segoe UI Light" w:hAnsi="Segoe UI Light" w:cs="Segoe UI Light"/>
          <w:color w:val="000000" w:themeColor="text1"/>
          <w:sz w:val="20"/>
          <w:szCs w:val="20"/>
          <w:lang w:eastAsia="en-AU"/>
        </w:rPr>
        <w:t xml:space="preserve">(source two) </w:t>
      </w:r>
      <w:r w:rsidR="006F12D6">
        <w:rPr>
          <w:rFonts w:ascii="Segoe UI Light" w:hAnsi="Segoe UI Light" w:cs="Segoe UI Light"/>
          <w:color w:val="000000" w:themeColor="text1"/>
          <w:sz w:val="20"/>
          <w:szCs w:val="20"/>
          <w:lang w:eastAsia="en-AU"/>
        </w:rPr>
        <w:t>is the increase in</w:t>
      </w:r>
      <w:r w:rsidR="00886195">
        <w:rPr>
          <w:rFonts w:ascii="Segoe UI Light" w:hAnsi="Segoe UI Light" w:cs="Segoe UI Light"/>
          <w:color w:val="000000" w:themeColor="text1"/>
          <w:sz w:val="20"/>
          <w:szCs w:val="20"/>
          <w:lang w:eastAsia="en-AU"/>
        </w:rPr>
        <w:t xml:space="preserve"> </w:t>
      </w:r>
      <w:r w:rsidR="006C6D6E">
        <w:rPr>
          <w:rFonts w:ascii="Segoe UI Light" w:hAnsi="Segoe UI Light" w:cs="Segoe UI Light"/>
          <w:color w:val="000000" w:themeColor="text1"/>
          <w:sz w:val="20"/>
          <w:szCs w:val="20"/>
          <w:lang w:eastAsia="en-AU"/>
        </w:rPr>
        <w:t xml:space="preserve">the implications of </w:t>
      </w:r>
      <w:r w:rsidR="00886195">
        <w:rPr>
          <w:rFonts w:ascii="Segoe UI Light" w:hAnsi="Segoe UI Light" w:cs="Segoe UI Light"/>
          <w:color w:val="000000" w:themeColor="text1"/>
          <w:sz w:val="20"/>
          <w:szCs w:val="20"/>
          <w:lang w:eastAsia="en-AU"/>
        </w:rPr>
        <w:t>climate change</w:t>
      </w:r>
      <w:r w:rsidR="002B15B8">
        <w:rPr>
          <w:rFonts w:ascii="Segoe UI Light" w:hAnsi="Segoe UI Light" w:cs="Segoe UI Light"/>
          <w:color w:val="000000" w:themeColor="text1"/>
          <w:sz w:val="20"/>
          <w:szCs w:val="20"/>
          <w:lang w:eastAsia="en-AU"/>
        </w:rPr>
        <w:t xml:space="preserve">. </w:t>
      </w:r>
      <w:r w:rsidR="0076206A">
        <w:rPr>
          <w:rFonts w:ascii="Segoe UI Light" w:hAnsi="Segoe UI Light" w:cs="Segoe UI Light"/>
          <w:color w:val="000000" w:themeColor="text1"/>
          <w:sz w:val="20"/>
          <w:szCs w:val="20"/>
          <w:lang w:eastAsia="en-AU"/>
        </w:rPr>
        <w:t>i</w:t>
      </w:r>
      <w:r w:rsidR="002B15B8">
        <w:rPr>
          <w:rFonts w:ascii="Segoe UI Light" w:hAnsi="Segoe UI Light" w:cs="Segoe UI Light"/>
          <w:color w:val="000000" w:themeColor="text1"/>
          <w:sz w:val="20"/>
          <w:szCs w:val="20"/>
          <w:lang w:eastAsia="en-AU"/>
        </w:rPr>
        <w:t xml:space="preserve">n this case, </w:t>
      </w:r>
      <w:r w:rsidR="00886195">
        <w:rPr>
          <w:rFonts w:ascii="Segoe UI Light" w:hAnsi="Segoe UI Light" w:cs="Segoe UI Light"/>
          <w:color w:val="000000" w:themeColor="text1"/>
          <w:sz w:val="20"/>
          <w:szCs w:val="20"/>
          <w:lang w:eastAsia="en-AU"/>
        </w:rPr>
        <w:t xml:space="preserve">it is the increase in mortality rates from </w:t>
      </w:r>
      <w:r w:rsidR="00CB019A">
        <w:rPr>
          <w:rFonts w:ascii="Segoe UI Light" w:hAnsi="Segoe UI Light" w:cs="Segoe UI Light"/>
          <w:color w:val="000000" w:themeColor="text1"/>
          <w:sz w:val="20"/>
          <w:szCs w:val="20"/>
          <w:lang w:eastAsia="en-AU"/>
        </w:rPr>
        <w:t>extreme weather events</w:t>
      </w:r>
      <w:r w:rsidR="00886195">
        <w:rPr>
          <w:rFonts w:ascii="Segoe UI Light" w:hAnsi="Segoe UI Light" w:cs="Segoe UI Light"/>
          <w:color w:val="000000" w:themeColor="text1"/>
          <w:sz w:val="20"/>
          <w:szCs w:val="20"/>
          <w:lang w:eastAsia="en-AU"/>
        </w:rPr>
        <w:t>.</w:t>
      </w:r>
      <w:r w:rsidR="00096F68">
        <w:rPr>
          <w:rFonts w:ascii="Segoe UI Light" w:hAnsi="Segoe UI Light" w:cs="Segoe UI Light"/>
          <w:color w:val="000000" w:themeColor="text1"/>
          <w:sz w:val="20"/>
          <w:szCs w:val="20"/>
          <w:lang w:eastAsia="en-AU"/>
        </w:rPr>
        <w:t xml:space="preserve"> both countries</w:t>
      </w:r>
      <w:r w:rsidR="007365E6">
        <w:rPr>
          <w:rFonts w:ascii="Segoe UI Light" w:hAnsi="Segoe UI Light" w:cs="Segoe UI Light"/>
          <w:color w:val="000000" w:themeColor="text1"/>
          <w:sz w:val="20"/>
          <w:szCs w:val="20"/>
          <w:lang w:eastAsia="en-AU"/>
        </w:rPr>
        <w:t xml:space="preserve"> ha</w:t>
      </w:r>
      <w:r w:rsidR="00355B49">
        <w:rPr>
          <w:rFonts w:ascii="Segoe UI Light" w:hAnsi="Segoe UI Light" w:cs="Segoe UI Light"/>
          <w:color w:val="000000" w:themeColor="text1"/>
          <w:sz w:val="20"/>
          <w:szCs w:val="20"/>
          <w:lang w:eastAsia="en-AU"/>
        </w:rPr>
        <w:t>d</w:t>
      </w:r>
      <w:r w:rsidR="007365E6">
        <w:rPr>
          <w:rFonts w:ascii="Segoe UI Light" w:hAnsi="Segoe UI Light" w:cs="Segoe UI Light"/>
          <w:color w:val="000000" w:themeColor="text1"/>
          <w:sz w:val="20"/>
          <w:szCs w:val="20"/>
          <w:lang w:eastAsia="en-AU"/>
        </w:rPr>
        <w:t xml:space="preserve"> shown an increase in deaths from </w:t>
      </w:r>
      <w:r w:rsidR="00DC1363">
        <w:rPr>
          <w:rFonts w:ascii="Segoe UI Light" w:hAnsi="Segoe UI Light" w:cs="Segoe UI Light"/>
          <w:color w:val="000000" w:themeColor="text1"/>
          <w:sz w:val="20"/>
          <w:szCs w:val="20"/>
          <w:lang w:eastAsia="en-AU"/>
        </w:rPr>
        <w:t>extreme weather events over the year of 2016</w:t>
      </w:r>
      <w:r w:rsidR="00355B49">
        <w:rPr>
          <w:rFonts w:ascii="Segoe UI Light" w:hAnsi="Segoe UI Light" w:cs="Segoe UI Light"/>
          <w:color w:val="000000" w:themeColor="text1"/>
          <w:sz w:val="20"/>
          <w:szCs w:val="20"/>
          <w:lang w:eastAsia="en-AU"/>
        </w:rPr>
        <w:t xml:space="preserve">, </w:t>
      </w:r>
      <w:r w:rsidR="00662CB8">
        <w:rPr>
          <w:rFonts w:ascii="Segoe UI Light" w:hAnsi="Segoe UI Light" w:cs="Segoe UI Light"/>
          <w:color w:val="000000" w:themeColor="text1"/>
          <w:sz w:val="20"/>
          <w:szCs w:val="20"/>
          <w:lang w:eastAsia="en-AU"/>
        </w:rPr>
        <w:t xml:space="preserve">however, </w:t>
      </w:r>
      <w:r w:rsidR="000B5862">
        <w:rPr>
          <w:rFonts w:ascii="Segoe UI Light" w:hAnsi="Segoe UI Light" w:cs="Segoe UI Light"/>
          <w:color w:val="000000" w:themeColor="text1"/>
          <w:sz w:val="20"/>
          <w:szCs w:val="20"/>
          <w:lang w:eastAsia="en-AU"/>
        </w:rPr>
        <w:t xml:space="preserve">there </w:t>
      </w:r>
      <w:r w:rsidR="00902B7E">
        <w:rPr>
          <w:rFonts w:ascii="Segoe UI Light" w:hAnsi="Segoe UI Light" w:cs="Segoe UI Light"/>
          <w:color w:val="000000" w:themeColor="text1"/>
          <w:sz w:val="20"/>
          <w:szCs w:val="20"/>
          <w:lang w:eastAsia="en-AU"/>
        </w:rPr>
        <w:t xml:space="preserve">was </w:t>
      </w:r>
      <w:r w:rsidR="000B5862">
        <w:rPr>
          <w:rFonts w:ascii="Segoe UI Light" w:hAnsi="Segoe UI Light" w:cs="Segoe UI Light"/>
          <w:color w:val="000000" w:themeColor="text1"/>
          <w:sz w:val="20"/>
          <w:szCs w:val="20"/>
          <w:lang w:eastAsia="en-AU"/>
        </w:rPr>
        <w:t xml:space="preserve">a variance of the types of events </w:t>
      </w:r>
      <w:r w:rsidR="00902B7E">
        <w:rPr>
          <w:rFonts w:ascii="Segoe UI Light" w:hAnsi="Segoe UI Light" w:cs="Segoe UI Light"/>
          <w:color w:val="000000" w:themeColor="text1"/>
          <w:sz w:val="20"/>
          <w:szCs w:val="20"/>
          <w:lang w:eastAsia="en-AU"/>
        </w:rPr>
        <w:t xml:space="preserve">that were </w:t>
      </w:r>
      <w:r w:rsidR="000B5862">
        <w:rPr>
          <w:rFonts w:ascii="Segoe UI Light" w:hAnsi="Segoe UI Light" w:cs="Segoe UI Light"/>
          <w:color w:val="000000" w:themeColor="text1"/>
          <w:sz w:val="20"/>
          <w:szCs w:val="20"/>
          <w:lang w:eastAsia="en-AU"/>
        </w:rPr>
        <w:t xml:space="preserve">targeting </w:t>
      </w:r>
      <w:r w:rsidR="00E24539">
        <w:rPr>
          <w:rFonts w:ascii="Segoe UI Light" w:hAnsi="Segoe UI Light" w:cs="Segoe UI Light"/>
          <w:color w:val="000000" w:themeColor="text1"/>
          <w:sz w:val="20"/>
          <w:szCs w:val="20"/>
          <w:lang w:eastAsia="en-AU"/>
        </w:rPr>
        <w:t xml:space="preserve">india and USA. </w:t>
      </w:r>
      <w:r w:rsidR="00D7295D">
        <w:rPr>
          <w:rFonts w:ascii="Segoe UI Light" w:hAnsi="Segoe UI Light" w:cs="Segoe UI Light"/>
          <w:color w:val="000000" w:themeColor="text1"/>
          <w:sz w:val="20"/>
          <w:szCs w:val="20"/>
          <w:lang w:eastAsia="en-AU"/>
        </w:rPr>
        <w:t xml:space="preserve">about </w:t>
      </w:r>
      <w:r w:rsidR="009C3C97">
        <w:rPr>
          <w:rFonts w:ascii="Segoe UI Light" w:hAnsi="Segoe UI Light" w:cs="Segoe UI Light"/>
          <w:color w:val="000000" w:themeColor="text1"/>
          <w:sz w:val="20"/>
          <w:szCs w:val="20"/>
          <w:lang w:eastAsia="en-AU"/>
        </w:rPr>
        <w:t xml:space="preserve">1250 </w:t>
      </w:r>
      <w:r w:rsidR="00517FF5">
        <w:rPr>
          <w:rFonts w:ascii="Segoe UI Light" w:hAnsi="Segoe UI Light" w:cs="Segoe UI Light"/>
          <w:color w:val="000000" w:themeColor="text1"/>
          <w:sz w:val="20"/>
          <w:szCs w:val="20"/>
          <w:lang w:eastAsia="en-AU"/>
        </w:rPr>
        <w:t xml:space="preserve">deaths were caused by </w:t>
      </w:r>
      <w:r w:rsidR="00A541D0">
        <w:rPr>
          <w:rFonts w:ascii="Segoe UI Light" w:hAnsi="Segoe UI Light" w:cs="Segoe UI Light"/>
          <w:color w:val="000000" w:themeColor="text1"/>
          <w:sz w:val="20"/>
          <w:szCs w:val="20"/>
          <w:lang w:eastAsia="en-AU"/>
        </w:rPr>
        <w:t xml:space="preserve">25 </w:t>
      </w:r>
      <w:r w:rsidR="00662CB8">
        <w:rPr>
          <w:rFonts w:ascii="Segoe UI Light" w:hAnsi="Segoe UI Light" w:cs="Segoe UI Light"/>
          <w:color w:val="000000" w:themeColor="text1"/>
          <w:sz w:val="20"/>
          <w:szCs w:val="20"/>
          <w:lang w:eastAsia="en-AU"/>
        </w:rPr>
        <w:t>meteorological events</w:t>
      </w:r>
      <w:r w:rsidR="00AD41D8">
        <w:rPr>
          <w:rFonts w:ascii="Segoe UI Light" w:hAnsi="Segoe UI Light" w:cs="Segoe UI Light"/>
          <w:color w:val="000000" w:themeColor="text1"/>
          <w:sz w:val="20"/>
          <w:szCs w:val="20"/>
          <w:lang w:eastAsia="en-AU"/>
        </w:rPr>
        <w:t xml:space="preserve"> which</w:t>
      </w:r>
      <w:r w:rsidR="00517FF5">
        <w:rPr>
          <w:rFonts w:ascii="Segoe UI Light" w:hAnsi="Segoe UI Light" w:cs="Segoe UI Light"/>
          <w:color w:val="000000" w:themeColor="text1"/>
          <w:sz w:val="20"/>
          <w:szCs w:val="20"/>
          <w:lang w:eastAsia="en-AU"/>
        </w:rPr>
        <w:t xml:space="preserve"> </w:t>
      </w:r>
      <w:r w:rsidR="009C3C97">
        <w:rPr>
          <w:rFonts w:ascii="Segoe UI Light" w:hAnsi="Segoe UI Light" w:cs="Segoe UI Light"/>
          <w:color w:val="000000" w:themeColor="text1"/>
          <w:sz w:val="20"/>
          <w:szCs w:val="20"/>
          <w:lang w:eastAsia="en-AU"/>
        </w:rPr>
        <w:t xml:space="preserve">mostly </w:t>
      </w:r>
      <w:r w:rsidR="00662CB8">
        <w:rPr>
          <w:rFonts w:ascii="Segoe UI Light" w:hAnsi="Segoe UI Light" w:cs="Segoe UI Light"/>
          <w:color w:val="000000" w:themeColor="text1"/>
          <w:sz w:val="20"/>
          <w:szCs w:val="20"/>
          <w:lang w:eastAsia="en-AU"/>
        </w:rPr>
        <w:t xml:space="preserve">contributed to </w:t>
      </w:r>
      <w:r w:rsidR="009C3C97">
        <w:rPr>
          <w:rFonts w:ascii="Segoe UI Light" w:hAnsi="Segoe UI Light" w:cs="Segoe UI Light"/>
          <w:color w:val="000000" w:themeColor="text1"/>
          <w:sz w:val="20"/>
          <w:szCs w:val="20"/>
          <w:lang w:eastAsia="en-AU"/>
        </w:rPr>
        <w:t xml:space="preserve">the </w:t>
      </w:r>
      <w:r w:rsidR="00662CB8">
        <w:rPr>
          <w:rFonts w:ascii="Segoe UI Light" w:hAnsi="Segoe UI Light" w:cs="Segoe UI Light"/>
          <w:color w:val="000000" w:themeColor="text1"/>
          <w:sz w:val="20"/>
          <w:szCs w:val="20"/>
          <w:lang w:eastAsia="en-AU"/>
        </w:rPr>
        <w:t>mortality rates for USA</w:t>
      </w:r>
      <w:r w:rsidR="00517FF5">
        <w:rPr>
          <w:rFonts w:ascii="Segoe UI Light" w:hAnsi="Segoe UI Light" w:cs="Segoe UI Light"/>
          <w:color w:val="000000" w:themeColor="text1"/>
          <w:sz w:val="20"/>
          <w:szCs w:val="20"/>
          <w:lang w:eastAsia="en-AU"/>
        </w:rPr>
        <w:t>, in india,</w:t>
      </w:r>
      <w:r w:rsidR="00AD41D8">
        <w:rPr>
          <w:rFonts w:ascii="Segoe UI Light" w:hAnsi="Segoe UI Light" w:cs="Segoe UI Light"/>
          <w:color w:val="000000" w:themeColor="text1"/>
          <w:sz w:val="20"/>
          <w:szCs w:val="20"/>
          <w:lang w:eastAsia="en-AU"/>
        </w:rPr>
        <w:t xml:space="preserve"> mortality rates</w:t>
      </w:r>
      <w:r w:rsidR="00517FF5">
        <w:rPr>
          <w:rFonts w:ascii="Segoe UI Light" w:hAnsi="Segoe UI Light" w:cs="Segoe UI Light"/>
          <w:color w:val="000000" w:themeColor="text1"/>
          <w:sz w:val="20"/>
          <w:szCs w:val="20"/>
          <w:lang w:eastAsia="en-AU"/>
        </w:rPr>
        <w:t xml:space="preserve"> </w:t>
      </w:r>
      <w:r w:rsidR="00AD41D8">
        <w:rPr>
          <w:rFonts w:ascii="Segoe UI Light" w:hAnsi="Segoe UI Light" w:cs="Segoe UI Light"/>
          <w:color w:val="000000" w:themeColor="text1"/>
          <w:sz w:val="20"/>
          <w:szCs w:val="20"/>
          <w:lang w:eastAsia="en-AU"/>
        </w:rPr>
        <w:t xml:space="preserve">were caused </w:t>
      </w:r>
      <w:r w:rsidR="00CD4440">
        <w:rPr>
          <w:rFonts w:ascii="Segoe UI Light" w:hAnsi="Segoe UI Light" w:cs="Segoe UI Light"/>
          <w:color w:val="000000" w:themeColor="text1"/>
          <w:sz w:val="20"/>
          <w:szCs w:val="20"/>
          <w:lang w:eastAsia="en-AU"/>
        </w:rPr>
        <w:t xml:space="preserve">by </w:t>
      </w:r>
      <w:r w:rsidR="00A541D0">
        <w:rPr>
          <w:rFonts w:ascii="Segoe UI Light" w:hAnsi="Segoe UI Light" w:cs="Segoe UI Light"/>
          <w:color w:val="000000" w:themeColor="text1"/>
          <w:sz w:val="20"/>
          <w:szCs w:val="20"/>
          <w:lang w:eastAsia="en-AU"/>
        </w:rPr>
        <w:t xml:space="preserve">12 </w:t>
      </w:r>
      <w:r w:rsidR="00D7295D">
        <w:rPr>
          <w:rFonts w:ascii="Segoe UI Light" w:hAnsi="Segoe UI Light" w:cs="Segoe UI Light"/>
          <w:color w:val="000000" w:themeColor="text1"/>
          <w:sz w:val="20"/>
          <w:szCs w:val="20"/>
          <w:lang w:eastAsia="en-AU"/>
        </w:rPr>
        <w:t xml:space="preserve">hydrological events </w:t>
      </w:r>
      <w:r w:rsidR="00A541D0">
        <w:rPr>
          <w:rFonts w:ascii="Segoe UI Light" w:hAnsi="Segoe UI Light" w:cs="Segoe UI Light"/>
          <w:color w:val="000000" w:themeColor="text1"/>
          <w:sz w:val="20"/>
          <w:szCs w:val="20"/>
          <w:lang w:eastAsia="en-AU"/>
        </w:rPr>
        <w:t>and lead to</w:t>
      </w:r>
      <w:r w:rsidR="00D7295D">
        <w:rPr>
          <w:rFonts w:ascii="Segoe UI Light" w:hAnsi="Segoe UI Light" w:cs="Segoe UI Light"/>
          <w:color w:val="000000" w:themeColor="text1"/>
          <w:sz w:val="20"/>
          <w:szCs w:val="20"/>
          <w:lang w:eastAsia="en-AU"/>
        </w:rPr>
        <w:t xml:space="preserve"> around 600 deaths. </w:t>
      </w:r>
    </w:p>
    <w:p w14:paraId="5CB9AABE" w14:textId="77777777" w:rsidR="007C58BF" w:rsidRDefault="00F26CAD" w:rsidP="00F26CAD">
      <w:pPr>
        <w:pStyle w:val="NoSpacing"/>
        <w:numPr>
          <w:ilvl w:val="0"/>
          <w:numId w:val="4"/>
        </w:numPr>
        <w:ind w:left="0" w:right="-755" w:hanging="284"/>
        <w:rPr>
          <w:rFonts w:ascii="Times New Roman" w:hAnsi="Times New Roman" w:cs="Times New Roman"/>
        </w:rPr>
      </w:pPr>
      <w:r w:rsidRPr="00D124DE">
        <w:rPr>
          <w:rFonts w:ascii="Times New Roman" w:hAnsi="Times New Roman" w:cs="Times New Roman"/>
        </w:rPr>
        <w:t xml:space="preserve">Using information presented in this section and your own knowledge, explain two reasons for the </w:t>
      </w:r>
      <w:r w:rsidRPr="007C58BF">
        <w:rPr>
          <w:rFonts w:ascii="Times New Roman" w:hAnsi="Times New Roman" w:cs="Times New Roman"/>
        </w:rPr>
        <w:t xml:space="preserve">difference in mortality </w:t>
      </w:r>
    </w:p>
    <w:p w14:paraId="24602E8F" w14:textId="7E8F9794" w:rsidR="00F26CAD" w:rsidRPr="007C58BF" w:rsidRDefault="00F26CAD" w:rsidP="007C58BF">
      <w:pPr>
        <w:pStyle w:val="NoSpacing"/>
        <w:ind w:right="-755"/>
        <w:rPr>
          <w:rFonts w:ascii="Times New Roman" w:hAnsi="Times New Roman" w:cs="Times New Roman"/>
        </w:rPr>
      </w:pPr>
      <w:r w:rsidRPr="007C58BF">
        <w:rPr>
          <w:rFonts w:ascii="Times New Roman" w:hAnsi="Times New Roman" w:cs="Times New Roman"/>
        </w:rPr>
        <w:t xml:space="preserve">due to natural disasters between India and the USA. </w:t>
      </w:r>
      <w:r w:rsidRPr="007C58BF">
        <w:rPr>
          <w:rFonts w:ascii="Times New Roman" w:hAnsi="Times New Roman" w:cs="Times New Roman"/>
        </w:rPr>
        <w:tab/>
      </w:r>
      <w:r w:rsidRPr="007C58BF">
        <w:rPr>
          <w:rFonts w:ascii="Times New Roman" w:hAnsi="Times New Roman" w:cs="Times New Roman"/>
        </w:rPr>
        <w:tab/>
        <w:t xml:space="preserve">                </w:t>
      </w:r>
      <w:r w:rsidR="007C58BF">
        <w:rPr>
          <w:rFonts w:ascii="Times New Roman" w:hAnsi="Times New Roman" w:cs="Times New Roman"/>
        </w:rPr>
        <w:t xml:space="preserve">                                       </w:t>
      </w:r>
      <w:r w:rsidRPr="007C58BF">
        <w:rPr>
          <w:rFonts w:ascii="Times New Roman" w:hAnsi="Times New Roman" w:cs="Times New Roman"/>
        </w:rPr>
        <w:t xml:space="preserve">     4 marks</w:t>
      </w:r>
    </w:p>
    <w:p w14:paraId="24602E90" w14:textId="77777777" w:rsidR="00F26CAD" w:rsidRDefault="00F26CAD" w:rsidP="00F26CAD">
      <w:pPr>
        <w:pStyle w:val="NoSpacing"/>
        <w:ind w:right="-755" w:hanging="284"/>
        <w:rPr>
          <w:rFonts w:ascii="Times New Roman" w:hAnsi="Times New Roman" w:cs="Times New Roman"/>
        </w:rPr>
      </w:pPr>
    </w:p>
    <w:p w14:paraId="171C3647" w14:textId="4D9D9A45" w:rsidR="007A795D" w:rsidRPr="00121827" w:rsidRDefault="009E6132" w:rsidP="00121827">
      <w:pPr>
        <w:spacing w:line="360" w:lineRule="auto"/>
        <w:rPr>
          <w:rFonts w:ascii="Segoe UI Light" w:hAnsi="Segoe UI Light" w:cs="Segoe UI Light"/>
          <w:sz w:val="20"/>
          <w:szCs w:val="20"/>
        </w:rPr>
      </w:pPr>
      <w:r>
        <w:rPr>
          <w:rFonts w:ascii="Segoe UI Light" w:hAnsi="Segoe UI Light" w:cs="Segoe UI Light"/>
          <w:color w:val="000000" w:themeColor="text1"/>
          <w:sz w:val="20"/>
          <w:szCs w:val="20"/>
          <w:lang w:eastAsia="en-AU"/>
        </w:rPr>
        <w:t xml:space="preserve">as demonstrated in source two, </w:t>
      </w:r>
      <w:r w:rsidR="007C58BF">
        <w:rPr>
          <w:rFonts w:ascii="Segoe UI Light" w:hAnsi="Segoe UI Light" w:cs="Segoe UI Light"/>
          <w:color w:val="000000" w:themeColor="text1"/>
          <w:sz w:val="20"/>
          <w:szCs w:val="20"/>
          <w:lang w:eastAsia="en-AU"/>
        </w:rPr>
        <w:t xml:space="preserve">there were greater mortality rates instigated by natural disasters in india, highlighting around 23 deaths compared to </w:t>
      </w:r>
      <w:r>
        <w:rPr>
          <w:rFonts w:ascii="Segoe UI Light" w:hAnsi="Segoe UI Light" w:cs="Segoe UI Light"/>
          <w:color w:val="000000" w:themeColor="text1"/>
          <w:sz w:val="20"/>
          <w:szCs w:val="20"/>
          <w:lang w:eastAsia="en-AU"/>
        </w:rPr>
        <w:t xml:space="preserve">the </w:t>
      </w:r>
      <w:r w:rsidR="007C58BF">
        <w:rPr>
          <w:rFonts w:ascii="Segoe UI Light" w:hAnsi="Segoe UI Light" w:cs="Segoe UI Light"/>
          <w:color w:val="000000" w:themeColor="text1"/>
          <w:sz w:val="20"/>
          <w:szCs w:val="20"/>
          <w:lang w:eastAsia="en-AU"/>
        </w:rPr>
        <w:t>USA demonstrating 5 deaths.</w:t>
      </w:r>
      <w:r w:rsidR="007400CE">
        <w:rPr>
          <w:rFonts w:ascii="Segoe UI Light" w:hAnsi="Segoe UI Light" w:cs="Segoe UI Light"/>
          <w:color w:val="000000" w:themeColor="text1"/>
          <w:sz w:val="20"/>
          <w:szCs w:val="20"/>
          <w:lang w:eastAsia="en-AU"/>
        </w:rPr>
        <w:t xml:space="preserve"> hydrological events such as</w:t>
      </w:r>
      <w:r w:rsidR="007C58BF">
        <w:rPr>
          <w:rFonts w:ascii="Segoe UI Light" w:hAnsi="Segoe UI Light" w:cs="Segoe UI Light"/>
          <w:color w:val="000000" w:themeColor="text1"/>
          <w:sz w:val="20"/>
          <w:szCs w:val="20"/>
          <w:lang w:eastAsia="en-AU"/>
        </w:rPr>
        <w:t xml:space="preserve"> </w:t>
      </w:r>
      <w:r w:rsidR="00121827" w:rsidRPr="00121827">
        <w:rPr>
          <w:rFonts w:ascii="Segoe UI Light" w:hAnsi="Segoe UI Light" w:cs="Segoe UI Light"/>
          <w:sz w:val="20"/>
          <w:szCs w:val="20"/>
        </w:rPr>
        <w:t>flooding is responsible for drownings and physical injuries</w:t>
      </w:r>
      <w:r w:rsidR="00637DFC">
        <w:rPr>
          <w:rFonts w:ascii="Segoe UI Light" w:hAnsi="Segoe UI Light" w:cs="Segoe UI Light"/>
          <w:sz w:val="20"/>
          <w:szCs w:val="20"/>
        </w:rPr>
        <w:t xml:space="preserve">, in india, </w:t>
      </w:r>
      <w:r w:rsidR="00552CFA">
        <w:rPr>
          <w:rFonts w:ascii="Segoe UI Light" w:hAnsi="Segoe UI Light" w:cs="Segoe UI Light"/>
          <w:sz w:val="20"/>
          <w:szCs w:val="20"/>
        </w:rPr>
        <w:t xml:space="preserve">the health system is unable to </w:t>
      </w:r>
      <w:r w:rsidR="008E363F">
        <w:rPr>
          <w:rFonts w:ascii="Segoe UI Light" w:hAnsi="Segoe UI Light" w:cs="Segoe UI Light"/>
          <w:sz w:val="20"/>
          <w:szCs w:val="20"/>
        </w:rPr>
        <w:t xml:space="preserve">supply people with treatment leading to an increase in mortality rates, compared to the </w:t>
      </w:r>
      <w:proofErr w:type="gramStart"/>
      <w:r w:rsidR="008E363F">
        <w:rPr>
          <w:rFonts w:ascii="Segoe UI Light" w:hAnsi="Segoe UI Light" w:cs="Segoe UI Light"/>
          <w:sz w:val="20"/>
          <w:szCs w:val="20"/>
        </w:rPr>
        <w:t>united states</w:t>
      </w:r>
      <w:proofErr w:type="gramEnd"/>
      <w:r w:rsidR="008E363F">
        <w:rPr>
          <w:rFonts w:ascii="Segoe UI Light" w:hAnsi="Segoe UI Light" w:cs="Segoe UI Light"/>
          <w:sz w:val="20"/>
          <w:szCs w:val="20"/>
        </w:rPr>
        <w:t xml:space="preserve"> who are able to give access </w:t>
      </w:r>
      <w:r w:rsidR="00EA45D3">
        <w:rPr>
          <w:rFonts w:ascii="Segoe UI Light" w:hAnsi="Segoe UI Light" w:cs="Segoe UI Light"/>
          <w:sz w:val="20"/>
          <w:szCs w:val="20"/>
        </w:rPr>
        <w:t>to more injured or sick citizens</w:t>
      </w:r>
      <w:r w:rsidR="003522AD">
        <w:rPr>
          <w:rFonts w:ascii="Segoe UI Light" w:hAnsi="Segoe UI Light" w:cs="Segoe UI Light"/>
          <w:sz w:val="20"/>
          <w:szCs w:val="20"/>
        </w:rPr>
        <w:t>, leading to fewer deaths</w:t>
      </w:r>
      <w:r w:rsidR="00EA45D3">
        <w:rPr>
          <w:rFonts w:ascii="Segoe UI Light" w:hAnsi="Segoe UI Light" w:cs="Segoe UI Light"/>
          <w:sz w:val="20"/>
          <w:szCs w:val="20"/>
        </w:rPr>
        <w:t xml:space="preserve">. </w:t>
      </w:r>
      <w:r w:rsidR="008E363F">
        <w:rPr>
          <w:rFonts w:ascii="Segoe UI Light" w:hAnsi="Segoe UI Light" w:cs="Segoe UI Light"/>
          <w:sz w:val="20"/>
          <w:szCs w:val="20"/>
        </w:rPr>
        <w:t xml:space="preserve"> </w:t>
      </w:r>
      <w:r w:rsidR="002323A9">
        <w:rPr>
          <w:rFonts w:ascii="Segoe UI Light" w:hAnsi="Segoe UI Light" w:cs="Segoe UI Light"/>
          <w:sz w:val="20"/>
          <w:szCs w:val="20"/>
        </w:rPr>
        <w:t xml:space="preserve">meteorological events such as </w:t>
      </w:r>
      <w:r w:rsidR="00371A97">
        <w:rPr>
          <w:rFonts w:ascii="Segoe UI Light" w:hAnsi="Segoe UI Light" w:cs="Segoe UI Light"/>
          <w:sz w:val="20"/>
          <w:szCs w:val="20"/>
        </w:rPr>
        <w:t xml:space="preserve">cyclones </w:t>
      </w:r>
      <w:r w:rsidR="002323A9">
        <w:rPr>
          <w:rFonts w:ascii="Segoe UI Light" w:hAnsi="Segoe UI Light" w:cs="Segoe UI Light"/>
          <w:sz w:val="20"/>
          <w:szCs w:val="20"/>
        </w:rPr>
        <w:t>contributed to the mortality rates in the USA</w:t>
      </w:r>
      <w:r w:rsidR="00FC2267">
        <w:rPr>
          <w:rFonts w:ascii="Segoe UI Light" w:hAnsi="Segoe UI Light" w:cs="Segoe UI Light"/>
          <w:sz w:val="20"/>
          <w:szCs w:val="20"/>
        </w:rPr>
        <w:t xml:space="preserve"> as they are most common in the atlantic ocean, </w:t>
      </w:r>
      <w:r w:rsidR="001807FC">
        <w:rPr>
          <w:rFonts w:ascii="Segoe UI Light" w:hAnsi="Segoe UI Light" w:cs="Segoe UI Light"/>
          <w:sz w:val="20"/>
          <w:szCs w:val="20"/>
        </w:rPr>
        <w:t>these events destroy vegetation eventually impacting communities by</w:t>
      </w:r>
      <w:r w:rsidR="00B26F7F">
        <w:rPr>
          <w:rFonts w:ascii="Segoe UI Light" w:hAnsi="Segoe UI Light" w:cs="Segoe UI Light"/>
          <w:sz w:val="20"/>
          <w:szCs w:val="20"/>
        </w:rPr>
        <w:t xml:space="preserve"> damaging plant and animal sources. </w:t>
      </w:r>
      <w:r w:rsidR="000B7FF9">
        <w:rPr>
          <w:rFonts w:ascii="Segoe UI Light" w:hAnsi="Segoe UI Light" w:cs="Segoe UI Light"/>
          <w:sz w:val="20"/>
          <w:szCs w:val="20"/>
        </w:rPr>
        <w:t>although, in india</w:t>
      </w:r>
      <w:r w:rsidR="00B4234C">
        <w:rPr>
          <w:rFonts w:ascii="Segoe UI Light" w:hAnsi="Segoe UI Light" w:cs="Segoe UI Light"/>
          <w:sz w:val="20"/>
          <w:szCs w:val="20"/>
        </w:rPr>
        <w:t xml:space="preserve"> </w:t>
      </w:r>
      <w:r w:rsidR="006E4572">
        <w:rPr>
          <w:rFonts w:ascii="Segoe UI Light" w:hAnsi="Segoe UI Light" w:cs="Segoe UI Light"/>
          <w:sz w:val="20"/>
          <w:szCs w:val="20"/>
        </w:rPr>
        <w:t>meteorological events</w:t>
      </w:r>
      <w:r w:rsidR="00B4234C">
        <w:rPr>
          <w:rFonts w:ascii="Segoe UI Light" w:hAnsi="Segoe UI Light" w:cs="Segoe UI Light"/>
          <w:sz w:val="20"/>
          <w:szCs w:val="20"/>
        </w:rPr>
        <w:t xml:space="preserve"> did not contribute as much to the mortality rates compared to </w:t>
      </w:r>
      <w:r w:rsidR="006E4572">
        <w:rPr>
          <w:rFonts w:ascii="Segoe UI Light" w:hAnsi="Segoe UI Light" w:cs="Segoe UI Light"/>
          <w:sz w:val="20"/>
          <w:szCs w:val="20"/>
        </w:rPr>
        <w:t xml:space="preserve">the </w:t>
      </w:r>
      <w:proofErr w:type="gramStart"/>
      <w:r w:rsidR="006E4572">
        <w:rPr>
          <w:rFonts w:ascii="Segoe UI Light" w:hAnsi="Segoe UI Light" w:cs="Segoe UI Light"/>
          <w:sz w:val="20"/>
          <w:szCs w:val="20"/>
        </w:rPr>
        <w:t>united states</w:t>
      </w:r>
      <w:proofErr w:type="gramEnd"/>
      <w:r w:rsidR="006E4572">
        <w:rPr>
          <w:rFonts w:ascii="Segoe UI Light" w:hAnsi="Segoe UI Light" w:cs="Segoe UI Light"/>
          <w:sz w:val="20"/>
          <w:szCs w:val="20"/>
        </w:rPr>
        <w:t xml:space="preserve">. </w:t>
      </w:r>
    </w:p>
    <w:p w14:paraId="24602E99" w14:textId="4725FD00" w:rsidR="00F26CAD" w:rsidRPr="00D124DE" w:rsidRDefault="00F26CAD" w:rsidP="00F26CAD">
      <w:pPr>
        <w:pStyle w:val="NoSpacing"/>
        <w:numPr>
          <w:ilvl w:val="0"/>
          <w:numId w:val="4"/>
        </w:numPr>
        <w:ind w:left="0" w:right="-755" w:hanging="284"/>
        <w:rPr>
          <w:rFonts w:ascii="Times New Roman" w:hAnsi="Times New Roman" w:cs="Times New Roman"/>
        </w:rPr>
      </w:pPr>
      <w:r w:rsidRPr="00D124DE">
        <w:rPr>
          <w:rFonts w:ascii="Times New Roman" w:hAnsi="Times New Roman" w:cs="Times New Roman"/>
        </w:rPr>
        <w:t>Besides the risk of premature death, discuss three possible impacts on the health and wellbeing of those exposed to</w:t>
      </w:r>
      <w:r w:rsidR="00335086">
        <w:rPr>
          <w:rFonts w:ascii="Times New Roman" w:hAnsi="Times New Roman" w:cs="Times New Roman"/>
        </w:rPr>
        <w:br/>
      </w:r>
      <w:r w:rsidRPr="00D124DE">
        <w:rPr>
          <w:rFonts w:ascii="Times New Roman" w:hAnsi="Times New Roman" w:cs="Times New Roman"/>
        </w:rPr>
        <w:t xml:space="preserve">extreme weather events. </w:t>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Pr>
          <w:rFonts w:ascii="Times New Roman" w:hAnsi="Times New Roman" w:cs="Times New Roman"/>
        </w:rPr>
        <w:t xml:space="preserve">                                </w:t>
      </w:r>
      <w:r w:rsidR="00335086">
        <w:rPr>
          <w:rFonts w:ascii="Times New Roman" w:hAnsi="Times New Roman" w:cs="Times New Roman"/>
        </w:rPr>
        <w:t xml:space="preserve">              </w:t>
      </w:r>
      <w:r>
        <w:rPr>
          <w:rFonts w:ascii="Times New Roman" w:hAnsi="Times New Roman" w:cs="Times New Roman"/>
        </w:rPr>
        <w:t xml:space="preserve"> </w:t>
      </w:r>
      <w:r w:rsidRPr="00D124DE">
        <w:rPr>
          <w:rFonts w:ascii="Times New Roman" w:hAnsi="Times New Roman" w:cs="Times New Roman"/>
        </w:rPr>
        <w:t>3 marks</w:t>
      </w:r>
    </w:p>
    <w:p w14:paraId="24602E9A" w14:textId="77777777" w:rsidR="00F26CAD" w:rsidRDefault="00F26CAD" w:rsidP="00F26CAD">
      <w:pPr>
        <w:pStyle w:val="NoSpacing"/>
        <w:ind w:right="-755" w:hanging="284"/>
        <w:rPr>
          <w:rFonts w:ascii="Times New Roman" w:hAnsi="Times New Roman" w:cs="Times New Roman"/>
        </w:rPr>
      </w:pPr>
    </w:p>
    <w:p w14:paraId="3AA6966B" w14:textId="4FE218AD" w:rsidR="00EB0CCF" w:rsidRDefault="00E6068A"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the</w:t>
      </w:r>
      <w:r w:rsidR="00A2247B">
        <w:rPr>
          <w:rFonts w:ascii="Segoe UI Light" w:hAnsi="Segoe UI Light" w:cs="Segoe UI Light"/>
          <w:sz w:val="20"/>
          <w:szCs w:val="20"/>
        </w:rPr>
        <w:t xml:space="preserve"> </w:t>
      </w:r>
      <w:r>
        <w:rPr>
          <w:rFonts w:ascii="Segoe UI Light" w:hAnsi="Segoe UI Light" w:cs="Segoe UI Light"/>
          <w:sz w:val="20"/>
          <w:szCs w:val="20"/>
        </w:rPr>
        <w:t>climate</w:t>
      </w:r>
      <w:r w:rsidR="00A2247B">
        <w:rPr>
          <w:rFonts w:ascii="Segoe UI Light" w:hAnsi="Segoe UI Light" w:cs="Segoe UI Light"/>
          <w:sz w:val="20"/>
          <w:szCs w:val="20"/>
        </w:rPr>
        <w:t xml:space="preserve"> and weather</w:t>
      </w:r>
      <w:r>
        <w:rPr>
          <w:rFonts w:ascii="Segoe UI Light" w:hAnsi="Segoe UI Light" w:cs="Segoe UI Light"/>
          <w:sz w:val="20"/>
          <w:szCs w:val="20"/>
        </w:rPr>
        <w:t xml:space="preserve"> are changing due to an increase in global warming, </w:t>
      </w:r>
      <w:r w:rsidR="00EB0CCF">
        <w:rPr>
          <w:rFonts w:ascii="Segoe UI Light" w:hAnsi="Segoe UI Light" w:cs="Segoe UI Light"/>
          <w:sz w:val="20"/>
          <w:szCs w:val="20"/>
        </w:rPr>
        <w:t xml:space="preserve">increasing the commonality of extreme weather </w:t>
      </w:r>
    </w:p>
    <w:p w14:paraId="02417B5B" w14:textId="77777777" w:rsidR="00916D22" w:rsidRDefault="00EB0CCF"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lastRenderedPageBreak/>
        <w:t>events</w:t>
      </w:r>
      <w:r w:rsidR="00BA7CBB">
        <w:rPr>
          <w:rFonts w:ascii="Segoe UI Light" w:hAnsi="Segoe UI Light" w:cs="Segoe UI Light"/>
          <w:sz w:val="20"/>
          <w:szCs w:val="20"/>
        </w:rPr>
        <w:t xml:space="preserve"> and threaten</w:t>
      </w:r>
      <w:r w:rsidR="00A2247B">
        <w:rPr>
          <w:rFonts w:ascii="Segoe UI Light" w:hAnsi="Segoe UI Light" w:cs="Segoe UI Light"/>
          <w:sz w:val="20"/>
          <w:szCs w:val="20"/>
        </w:rPr>
        <w:t>ing</w:t>
      </w:r>
      <w:r w:rsidR="00BA7CBB">
        <w:rPr>
          <w:rFonts w:ascii="Segoe UI Light" w:hAnsi="Segoe UI Light" w:cs="Segoe UI Light"/>
          <w:sz w:val="20"/>
          <w:szCs w:val="20"/>
        </w:rPr>
        <w:t xml:space="preserve"> </w:t>
      </w:r>
      <w:r w:rsidR="00A2247B">
        <w:rPr>
          <w:rFonts w:ascii="Segoe UI Light" w:hAnsi="Segoe UI Light" w:cs="Segoe UI Light"/>
          <w:sz w:val="20"/>
          <w:szCs w:val="20"/>
        </w:rPr>
        <w:t xml:space="preserve">the health and wellbeing of those who are exposed. </w:t>
      </w:r>
      <w:r w:rsidR="00214A11">
        <w:rPr>
          <w:rFonts w:ascii="Segoe UI Light" w:hAnsi="Segoe UI Light" w:cs="Segoe UI Light"/>
          <w:sz w:val="20"/>
          <w:szCs w:val="20"/>
        </w:rPr>
        <w:t xml:space="preserve">warmer waters and flooding may increase exposure </w:t>
      </w:r>
    </w:p>
    <w:p w14:paraId="3F2ADBE1" w14:textId="77777777" w:rsidR="00916D22" w:rsidRDefault="00214A11"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to diseases in drinking and recreational waters, demonstrating a reduced access to fresh water</w:t>
      </w:r>
      <w:r w:rsidR="00F37FB7">
        <w:rPr>
          <w:rFonts w:ascii="Segoe UI Light" w:hAnsi="Segoe UI Light" w:cs="Segoe UI Light"/>
          <w:sz w:val="20"/>
          <w:szCs w:val="20"/>
        </w:rPr>
        <w:t xml:space="preserve">. the contamination of </w:t>
      </w:r>
      <w:r w:rsidR="00916D22">
        <w:rPr>
          <w:rFonts w:ascii="Segoe UI Light" w:hAnsi="Segoe UI Light" w:cs="Segoe UI Light"/>
          <w:sz w:val="20"/>
          <w:szCs w:val="20"/>
        </w:rPr>
        <w:t xml:space="preserve">stored </w:t>
      </w:r>
    </w:p>
    <w:p w14:paraId="5D2B93A6" w14:textId="357BEF6E" w:rsidR="00DB0848" w:rsidRDefault="00916D22"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water from </w:t>
      </w:r>
      <w:r w:rsidR="00DB0848">
        <w:rPr>
          <w:rFonts w:ascii="Segoe UI Light" w:hAnsi="Segoe UI Light" w:cs="Segoe UI Light"/>
          <w:sz w:val="20"/>
          <w:szCs w:val="20"/>
        </w:rPr>
        <w:t>floods</w:t>
      </w:r>
      <w:r>
        <w:rPr>
          <w:rFonts w:ascii="Segoe UI Light" w:hAnsi="Segoe UI Light" w:cs="Segoe UI Light"/>
          <w:sz w:val="20"/>
          <w:szCs w:val="20"/>
        </w:rPr>
        <w:t xml:space="preserve"> means that clean water becomes unavailable for drinking</w:t>
      </w:r>
      <w:r w:rsidR="00DB0848">
        <w:rPr>
          <w:rFonts w:ascii="Segoe UI Light" w:hAnsi="Segoe UI Light" w:cs="Segoe UI Light"/>
          <w:sz w:val="20"/>
          <w:szCs w:val="20"/>
        </w:rPr>
        <w:t>, increas</w:t>
      </w:r>
      <w:r w:rsidR="00310BDD">
        <w:rPr>
          <w:rFonts w:ascii="Segoe UI Light" w:hAnsi="Segoe UI Light" w:cs="Segoe UI Light"/>
          <w:sz w:val="20"/>
          <w:szCs w:val="20"/>
        </w:rPr>
        <w:t>ing</w:t>
      </w:r>
      <w:r w:rsidR="00DB0848">
        <w:rPr>
          <w:rFonts w:ascii="Segoe UI Light" w:hAnsi="Segoe UI Light" w:cs="Segoe UI Light"/>
          <w:sz w:val="20"/>
          <w:szCs w:val="20"/>
        </w:rPr>
        <w:t xml:space="preserve"> the incidence of water-borne diseases </w:t>
      </w:r>
    </w:p>
    <w:p w14:paraId="397B35EA" w14:textId="77777777" w:rsidR="00BB501F" w:rsidRDefault="00DB0848"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such as </w:t>
      </w:r>
      <w:r w:rsidR="00310BDD">
        <w:rPr>
          <w:rFonts w:ascii="Segoe UI Light" w:hAnsi="Segoe UI Light" w:cs="Segoe UI Light"/>
          <w:sz w:val="20"/>
          <w:szCs w:val="20"/>
        </w:rPr>
        <w:t>diarrhoea</w:t>
      </w:r>
      <w:r w:rsidR="00CB035D">
        <w:rPr>
          <w:rFonts w:ascii="Segoe UI Light" w:hAnsi="Segoe UI Light" w:cs="Segoe UI Light"/>
          <w:sz w:val="20"/>
          <w:szCs w:val="20"/>
        </w:rPr>
        <w:t xml:space="preserve">, while affecting physical health and wellbeing. </w:t>
      </w:r>
      <w:r w:rsidR="008F61A2">
        <w:rPr>
          <w:rFonts w:ascii="Segoe UI Light" w:hAnsi="Segoe UI Light" w:cs="Segoe UI Light"/>
          <w:sz w:val="20"/>
          <w:szCs w:val="20"/>
        </w:rPr>
        <w:t>in low-income countries, increased homeless</w:t>
      </w:r>
      <w:r w:rsidR="00F63546">
        <w:rPr>
          <w:rFonts w:ascii="Segoe UI Light" w:hAnsi="Segoe UI Light" w:cs="Segoe UI Light"/>
          <w:sz w:val="20"/>
          <w:szCs w:val="20"/>
        </w:rPr>
        <w:t>ness is likely to be greater due to the impact of extreme temperatures</w:t>
      </w:r>
      <w:r w:rsidR="00255072">
        <w:rPr>
          <w:rFonts w:ascii="Segoe UI Light" w:hAnsi="Segoe UI Light" w:cs="Segoe UI Light"/>
          <w:sz w:val="20"/>
          <w:szCs w:val="20"/>
        </w:rPr>
        <w:t xml:space="preserve"> and the lack of resources to cope with natural disaster</w:t>
      </w:r>
      <w:r w:rsidR="00B368E9">
        <w:rPr>
          <w:rFonts w:ascii="Segoe UI Light" w:hAnsi="Segoe UI Light" w:cs="Segoe UI Light"/>
          <w:sz w:val="20"/>
          <w:szCs w:val="20"/>
        </w:rPr>
        <w:t xml:space="preserve">s, often </w:t>
      </w:r>
      <w:r w:rsidR="00255072">
        <w:rPr>
          <w:rFonts w:ascii="Segoe UI Light" w:hAnsi="Segoe UI Light" w:cs="Segoe UI Light"/>
          <w:sz w:val="20"/>
          <w:szCs w:val="20"/>
        </w:rPr>
        <w:t>leav</w:t>
      </w:r>
      <w:r w:rsidR="00B368E9">
        <w:rPr>
          <w:rFonts w:ascii="Segoe UI Light" w:hAnsi="Segoe UI Light" w:cs="Segoe UI Light"/>
          <w:sz w:val="20"/>
          <w:szCs w:val="20"/>
        </w:rPr>
        <w:t>ing</w:t>
      </w:r>
      <w:r w:rsidR="00255072">
        <w:rPr>
          <w:rFonts w:ascii="Segoe UI Light" w:hAnsi="Segoe UI Light" w:cs="Segoe UI Light"/>
          <w:sz w:val="20"/>
          <w:szCs w:val="20"/>
        </w:rPr>
        <w:t xml:space="preserve"> people homeless or displaced, </w:t>
      </w:r>
      <w:r w:rsidR="00B368E9">
        <w:rPr>
          <w:rFonts w:ascii="Segoe UI Light" w:hAnsi="Segoe UI Light" w:cs="Segoe UI Light"/>
          <w:sz w:val="20"/>
          <w:szCs w:val="20"/>
        </w:rPr>
        <w:t xml:space="preserve">demonstrating </w:t>
      </w:r>
      <w:r w:rsidR="001E53E5">
        <w:rPr>
          <w:rFonts w:ascii="Segoe UI Light" w:hAnsi="Segoe UI Light" w:cs="Segoe UI Light"/>
          <w:sz w:val="20"/>
          <w:szCs w:val="20"/>
        </w:rPr>
        <w:t xml:space="preserve">poor emotional and mental health and wellbeing. </w:t>
      </w:r>
      <w:r w:rsidR="008D11AC">
        <w:rPr>
          <w:rFonts w:ascii="Segoe UI Light" w:hAnsi="Segoe UI Light" w:cs="Segoe UI Light"/>
          <w:sz w:val="20"/>
          <w:szCs w:val="20"/>
        </w:rPr>
        <w:t xml:space="preserve">with increased hunger and </w:t>
      </w:r>
      <w:r w:rsidR="00BB501F">
        <w:rPr>
          <w:rFonts w:ascii="Segoe UI Light" w:hAnsi="Segoe UI Light" w:cs="Segoe UI Light"/>
          <w:sz w:val="20"/>
          <w:szCs w:val="20"/>
        </w:rPr>
        <w:t xml:space="preserve">undernutrition </w:t>
      </w:r>
    </w:p>
    <w:p w14:paraId="24602EA7" w14:textId="562751C7" w:rsidR="00F26CAD" w:rsidRPr="008362F7" w:rsidRDefault="00BB501F"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in </w:t>
      </w:r>
      <w:r w:rsidR="002F0CEE">
        <w:rPr>
          <w:rFonts w:ascii="Segoe UI Light" w:hAnsi="Segoe UI Light" w:cs="Segoe UI Light"/>
          <w:sz w:val="20"/>
          <w:szCs w:val="20"/>
        </w:rPr>
        <w:t xml:space="preserve">some </w:t>
      </w:r>
      <w:r>
        <w:rPr>
          <w:rFonts w:ascii="Segoe UI Light" w:hAnsi="Segoe UI Light" w:cs="Segoe UI Light"/>
          <w:sz w:val="20"/>
          <w:szCs w:val="20"/>
        </w:rPr>
        <w:t xml:space="preserve">countries </w:t>
      </w:r>
      <w:r w:rsidR="002F0CEE">
        <w:rPr>
          <w:rFonts w:ascii="Segoe UI Light" w:hAnsi="Segoe UI Light" w:cs="Segoe UI Light"/>
          <w:sz w:val="20"/>
          <w:szCs w:val="20"/>
        </w:rPr>
        <w:t xml:space="preserve">who do </w:t>
      </w:r>
      <w:r>
        <w:rPr>
          <w:rFonts w:ascii="Segoe UI Light" w:hAnsi="Segoe UI Light" w:cs="Segoe UI Light"/>
          <w:sz w:val="20"/>
          <w:szCs w:val="20"/>
        </w:rPr>
        <w:t>no</w:t>
      </w:r>
      <w:r w:rsidR="002F0CEE">
        <w:rPr>
          <w:rFonts w:ascii="Segoe UI Light" w:hAnsi="Segoe UI Light" w:cs="Segoe UI Light"/>
          <w:sz w:val="20"/>
          <w:szCs w:val="20"/>
        </w:rPr>
        <w:t>t have enough food</w:t>
      </w:r>
      <w:r w:rsidR="008362F7">
        <w:rPr>
          <w:rFonts w:ascii="Segoe UI Light" w:hAnsi="Segoe UI Light" w:cs="Segoe UI Light"/>
          <w:sz w:val="20"/>
          <w:szCs w:val="20"/>
        </w:rPr>
        <w:t xml:space="preserve">, </w:t>
      </w:r>
      <w:r w:rsidR="002A3383">
        <w:rPr>
          <w:rFonts w:ascii="Segoe UI Light" w:hAnsi="Segoe UI Light" w:cs="Segoe UI Light"/>
          <w:sz w:val="20"/>
          <w:szCs w:val="20"/>
        </w:rPr>
        <w:t xml:space="preserve">a </w:t>
      </w:r>
      <w:r w:rsidR="00A467BD">
        <w:rPr>
          <w:rFonts w:ascii="Segoe UI Light" w:hAnsi="Segoe UI Light" w:cs="Segoe UI Light"/>
          <w:sz w:val="20"/>
          <w:szCs w:val="20"/>
        </w:rPr>
        <w:t>child’s</w:t>
      </w:r>
      <w:r w:rsidR="004F0DDD">
        <w:rPr>
          <w:rFonts w:ascii="Segoe UI Light" w:hAnsi="Segoe UI Light" w:cs="Segoe UI Light"/>
          <w:sz w:val="20"/>
          <w:szCs w:val="20"/>
        </w:rPr>
        <w:t xml:space="preserve"> opportunity </w:t>
      </w:r>
      <w:r w:rsidR="00A467BD">
        <w:rPr>
          <w:rFonts w:ascii="Segoe UI Light" w:hAnsi="Segoe UI Light" w:cs="Segoe UI Light"/>
          <w:sz w:val="20"/>
          <w:szCs w:val="20"/>
        </w:rPr>
        <w:t>to attend school and develop social connections</w:t>
      </w:r>
      <w:r w:rsidR="002A3383">
        <w:rPr>
          <w:rFonts w:ascii="Segoe UI Light" w:hAnsi="Segoe UI Light" w:cs="Segoe UI Light"/>
          <w:sz w:val="20"/>
          <w:szCs w:val="20"/>
        </w:rPr>
        <w:t xml:space="preserve"> is reduced</w:t>
      </w:r>
      <w:r w:rsidR="00A467BD">
        <w:rPr>
          <w:rFonts w:ascii="Segoe UI Light" w:hAnsi="Segoe UI Light" w:cs="Segoe UI Light"/>
          <w:sz w:val="20"/>
          <w:szCs w:val="20"/>
        </w:rPr>
        <w:t xml:space="preserve">, </w:t>
      </w:r>
      <w:r w:rsidR="002A3383">
        <w:rPr>
          <w:rFonts w:ascii="Segoe UI Light" w:hAnsi="Segoe UI Light" w:cs="Segoe UI Light"/>
          <w:sz w:val="20"/>
          <w:szCs w:val="20"/>
        </w:rPr>
        <w:t>impacting</w:t>
      </w:r>
      <w:r w:rsidR="00A467BD">
        <w:rPr>
          <w:rFonts w:ascii="Segoe UI Light" w:hAnsi="Segoe UI Light" w:cs="Segoe UI Light"/>
          <w:sz w:val="20"/>
          <w:szCs w:val="20"/>
        </w:rPr>
        <w:t xml:space="preserve"> </w:t>
      </w:r>
      <w:r w:rsidR="002A3383">
        <w:rPr>
          <w:rFonts w:ascii="Segoe UI Light" w:hAnsi="Segoe UI Light" w:cs="Segoe UI Light"/>
          <w:sz w:val="20"/>
          <w:szCs w:val="20"/>
        </w:rPr>
        <w:t>s</w:t>
      </w:r>
      <w:r w:rsidR="00A467BD">
        <w:rPr>
          <w:rFonts w:ascii="Segoe UI Light" w:hAnsi="Segoe UI Light" w:cs="Segoe UI Light"/>
          <w:sz w:val="20"/>
          <w:szCs w:val="20"/>
        </w:rPr>
        <w:t xml:space="preserve">ocial health and wellbeing. </w:t>
      </w:r>
    </w:p>
    <w:p w14:paraId="680EECE5" w14:textId="77777777" w:rsidR="00FA045D" w:rsidRDefault="00F26CAD" w:rsidP="00F26CAD">
      <w:pPr>
        <w:pStyle w:val="NoSpacing"/>
        <w:numPr>
          <w:ilvl w:val="0"/>
          <w:numId w:val="4"/>
        </w:numPr>
        <w:ind w:left="0" w:right="-755" w:hanging="284"/>
        <w:rPr>
          <w:rFonts w:ascii="Times New Roman" w:hAnsi="Times New Roman" w:cs="Times New Roman"/>
        </w:rPr>
      </w:pPr>
      <w:r w:rsidRPr="00D124DE">
        <w:rPr>
          <w:rFonts w:ascii="Times New Roman" w:hAnsi="Times New Roman" w:cs="Times New Roman"/>
        </w:rPr>
        <w:t xml:space="preserve">Explain two likely differences in human development between India and the USA based on their </w:t>
      </w:r>
      <w:r w:rsidR="00FA045D">
        <w:rPr>
          <w:rFonts w:ascii="Times New Roman" w:hAnsi="Times New Roman" w:cs="Times New Roman"/>
        </w:rPr>
        <w:t>r</w:t>
      </w:r>
      <w:r w:rsidRPr="00FA045D">
        <w:rPr>
          <w:rFonts w:ascii="Times New Roman" w:hAnsi="Times New Roman" w:cs="Times New Roman"/>
        </w:rPr>
        <w:t xml:space="preserve">espective average </w:t>
      </w:r>
    </w:p>
    <w:p w14:paraId="24602EA9" w14:textId="28CFCE31" w:rsidR="00F26CAD" w:rsidRPr="00FA045D" w:rsidRDefault="00F26CAD" w:rsidP="00FA045D">
      <w:pPr>
        <w:pStyle w:val="NoSpacing"/>
        <w:ind w:right="-755"/>
        <w:rPr>
          <w:rFonts w:ascii="Times New Roman" w:hAnsi="Times New Roman" w:cs="Times New Roman"/>
        </w:rPr>
      </w:pPr>
      <w:r w:rsidRPr="00FA045D">
        <w:rPr>
          <w:rFonts w:ascii="Times New Roman" w:hAnsi="Times New Roman" w:cs="Times New Roman"/>
        </w:rPr>
        <w:t xml:space="preserve">incomes. </w:t>
      </w:r>
      <w:r w:rsidRPr="00FA045D">
        <w:rPr>
          <w:rFonts w:ascii="Times New Roman" w:hAnsi="Times New Roman" w:cs="Times New Roman"/>
        </w:rPr>
        <w:tab/>
      </w:r>
      <w:r w:rsidRPr="00FA045D">
        <w:rPr>
          <w:rFonts w:ascii="Times New Roman" w:hAnsi="Times New Roman" w:cs="Times New Roman"/>
        </w:rPr>
        <w:tab/>
      </w:r>
      <w:r w:rsidRPr="00FA045D">
        <w:rPr>
          <w:rFonts w:ascii="Times New Roman" w:hAnsi="Times New Roman" w:cs="Times New Roman"/>
        </w:rPr>
        <w:tab/>
      </w:r>
      <w:r w:rsidRPr="00FA045D">
        <w:rPr>
          <w:rFonts w:ascii="Times New Roman" w:hAnsi="Times New Roman" w:cs="Times New Roman"/>
        </w:rPr>
        <w:tab/>
      </w:r>
      <w:r w:rsidRPr="00FA045D">
        <w:rPr>
          <w:rFonts w:ascii="Times New Roman" w:hAnsi="Times New Roman" w:cs="Times New Roman"/>
        </w:rPr>
        <w:tab/>
      </w:r>
      <w:r w:rsidRPr="00FA045D">
        <w:rPr>
          <w:rFonts w:ascii="Times New Roman" w:hAnsi="Times New Roman" w:cs="Times New Roman"/>
        </w:rPr>
        <w:tab/>
      </w:r>
      <w:r w:rsidRPr="00FA045D">
        <w:rPr>
          <w:rFonts w:ascii="Times New Roman" w:hAnsi="Times New Roman" w:cs="Times New Roman"/>
        </w:rPr>
        <w:tab/>
      </w:r>
      <w:r w:rsidRPr="00FA045D">
        <w:rPr>
          <w:rFonts w:ascii="Times New Roman" w:hAnsi="Times New Roman" w:cs="Times New Roman"/>
        </w:rPr>
        <w:tab/>
        <w:t xml:space="preserve">                     </w:t>
      </w:r>
      <w:r w:rsidR="00FA045D">
        <w:rPr>
          <w:rFonts w:ascii="Times New Roman" w:hAnsi="Times New Roman" w:cs="Times New Roman"/>
        </w:rPr>
        <w:t xml:space="preserve">                          </w:t>
      </w:r>
      <w:r w:rsidRPr="00FA045D">
        <w:rPr>
          <w:rFonts w:ascii="Times New Roman" w:hAnsi="Times New Roman" w:cs="Times New Roman"/>
        </w:rPr>
        <w:t>4 marks</w:t>
      </w:r>
    </w:p>
    <w:p w14:paraId="24602EAA" w14:textId="77777777" w:rsidR="00F26CAD" w:rsidRDefault="00F26CAD" w:rsidP="00F26CAD">
      <w:pPr>
        <w:pStyle w:val="NoSpacing"/>
        <w:ind w:right="-755" w:hanging="284"/>
        <w:rPr>
          <w:rFonts w:ascii="Times New Roman" w:hAnsi="Times New Roman" w:cs="Times New Roman"/>
        </w:rPr>
      </w:pPr>
    </w:p>
    <w:p w14:paraId="01B2A489" w14:textId="77777777" w:rsidR="00492EF6" w:rsidRDefault="00E94AA2"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human development </w:t>
      </w:r>
      <w:r w:rsidR="00C30EA4">
        <w:rPr>
          <w:rFonts w:ascii="Segoe UI Light" w:hAnsi="Segoe UI Light" w:cs="Segoe UI Light"/>
          <w:sz w:val="20"/>
          <w:szCs w:val="20"/>
        </w:rPr>
        <w:t>is</w:t>
      </w:r>
      <w:r>
        <w:rPr>
          <w:rFonts w:ascii="Segoe UI Light" w:hAnsi="Segoe UI Light" w:cs="Segoe UI Light"/>
          <w:sz w:val="20"/>
          <w:szCs w:val="20"/>
        </w:rPr>
        <w:t xml:space="preserve"> about much more than income, it is about creati</w:t>
      </w:r>
      <w:r w:rsidR="00B530BF">
        <w:rPr>
          <w:rFonts w:ascii="Segoe UI Light" w:hAnsi="Segoe UI Light" w:cs="Segoe UI Light"/>
          <w:sz w:val="20"/>
          <w:szCs w:val="20"/>
        </w:rPr>
        <w:t>ng</w:t>
      </w:r>
      <w:r>
        <w:rPr>
          <w:rFonts w:ascii="Segoe UI Light" w:hAnsi="Segoe UI Light" w:cs="Segoe UI Light"/>
          <w:sz w:val="20"/>
          <w:szCs w:val="20"/>
        </w:rPr>
        <w:t xml:space="preserve"> an environment in which people can develop to </w:t>
      </w:r>
      <w:proofErr w:type="gramStart"/>
      <w:r>
        <w:rPr>
          <w:rFonts w:ascii="Segoe UI Light" w:hAnsi="Segoe UI Light" w:cs="Segoe UI Light"/>
          <w:sz w:val="20"/>
          <w:szCs w:val="20"/>
        </w:rPr>
        <w:t>their</w:t>
      </w:r>
      <w:proofErr w:type="gramEnd"/>
      <w:r>
        <w:rPr>
          <w:rFonts w:ascii="Segoe UI Light" w:hAnsi="Segoe UI Light" w:cs="Segoe UI Light"/>
          <w:sz w:val="20"/>
          <w:szCs w:val="20"/>
        </w:rPr>
        <w:t xml:space="preserve"> </w:t>
      </w:r>
    </w:p>
    <w:p w14:paraId="60174396" w14:textId="77777777" w:rsidR="00251992" w:rsidRDefault="00E94AA2"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full potential and </w:t>
      </w:r>
      <w:r w:rsidR="00B530BF">
        <w:rPr>
          <w:rFonts w:ascii="Segoe UI Light" w:hAnsi="Segoe UI Light" w:cs="Segoe UI Light"/>
          <w:sz w:val="20"/>
          <w:szCs w:val="20"/>
        </w:rPr>
        <w:t>lead productive, creative lives according to their needs and interests.</w:t>
      </w:r>
      <w:r w:rsidR="00194A63">
        <w:rPr>
          <w:rFonts w:ascii="Segoe UI Light" w:hAnsi="Segoe UI Light" w:cs="Segoe UI Light"/>
          <w:sz w:val="20"/>
          <w:szCs w:val="20"/>
        </w:rPr>
        <w:t xml:space="preserve"> </w:t>
      </w:r>
      <w:r w:rsidR="00492EF6">
        <w:rPr>
          <w:rFonts w:ascii="Segoe UI Light" w:hAnsi="Segoe UI Light" w:cs="Segoe UI Light"/>
          <w:sz w:val="20"/>
          <w:szCs w:val="20"/>
        </w:rPr>
        <w:t xml:space="preserve">education can develop capabilities in </w:t>
      </w:r>
    </w:p>
    <w:p w14:paraId="440CF20E" w14:textId="77777777" w:rsidR="00251992" w:rsidRDefault="00492EF6"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relation to numeracy and literacy. with these skills, a person is likely to have more choice in relation to the careers they pursue in </w:t>
      </w:r>
    </w:p>
    <w:p w14:paraId="4AE0F608" w14:textId="77777777" w:rsidR="009F2697" w:rsidRDefault="00492EF6"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the future</w:t>
      </w:r>
      <w:r w:rsidR="00251992">
        <w:rPr>
          <w:rFonts w:ascii="Segoe UI Light" w:hAnsi="Segoe UI Light" w:cs="Segoe UI Light"/>
          <w:sz w:val="20"/>
          <w:szCs w:val="20"/>
        </w:rPr>
        <w:t xml:space="preserve">, in the USA a greater income may be demonstrated from children receiving education and getting a stable job while creating an average </w:t>
      </w:r>
      <w:r w:rsidR="00073CE8">
        <w:rPr>
          <w:rFonts w:ascii="Segoe UI Light" w:hAnsi="Segoe UI Light" w:cs="Segoe UI Light"/>
          <w:sz w:val="20"/>
          <w:szCs w:val="20"/>
        </w:rPr>
        <w:t xml:space="preserve">income of $57638. those in india may </w:t>
      </w:r>
      <w:r w:rsidR="000A47F4">
        <w:rPr>
          <w:rFonts w:ascii="Segoe UI Light" w:hAnsi="Segoe UI Light" w:cs="Segoe UI Light"/>
          <w:sz w:val="20"/>
          <w:szCs w:val="20"/>
        </w:rPr>
        <w:t>mis</w:t>
      </w:r>
      <w:r w:rsidR="00AD1E5F">
        <w:rPr>
          <w:rFonts w:ascii="Segoe UI Light" w:hAnsi="Segoe UI Light" w:cs="Segoe UI Light"/>
          <w:sz w:val="20"/>
          <w:szCs w:val="20"/>
        </w:rPr>
        <w:t xml:space="preserve">s multiple school days </w:t>
      </w:r>
      <w:r w:rsidR="009F2697">
        <w:rPr>
          <w:rFonts w:ascii="Segoe UI Light" w:hAnsi="Segoe UI Light" w:cs="Segoe UI Light"/>
          <w:sz w:val="20"/>
          <w:szCs w:val="20"/>
        </w:rPr>
        <w:t xml:space="preserve">each year through a combination of ill-health </w:t>
      </w:r>
    </w:p>
    <w:p w14:paraId="0DFEDE82" w14:textId="7C0CFC22" w:rsidR="00D74069" w:rsidRDefault="009F2697"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and time spent collecting</w:t>
      </w:r>
      <w:r w:rsidR="00B16D68">
        <w:rPr>
          <w:rFonts w:ascii="Segoe UI Light" w:hAnsi="Segoe UI Light" w:cs="Segoe UI Light"/>
          <w:sz w:val="20"/>
          <w:szCs w:val="20"/>
        </w:rPr>
        <w:t xml:space="preserve"> water, </w:t>
      </w:r>
      <w:r w:rsidR="00545C3F">
        <w:rPr>
          <w:rFonts w:ascii="Segoe UI Light" w:hAnsi="Segoe UI Light" w:cs="Segoe UI Light"/>
          <w:sz w:val="20"/>
          <w:szCs w:val="20"/>
        </w:rPr>
        <w:t xml:space="preserve">reducing levels of education and the potential to earn a decent income </w:t>
      </w:r>
      <w:r w:rsidR="006F38FE">
        <w:rPr>
          <w:rFonts w:ascii="Segoe UI Light" w:hAnsi="Segoe UI Light" w:cs="Segoe UI Light"/>
          <w:sz w:val="20"/>
          <w:szCs w:val="20"/>
        </w:rPr>
        <w:t xml:space="preserve">of $1706 </w:t>
      </w:r>
      <w:r w:rsidR="00545C3F">
        <w:rPr>
          <w:rFonts w:ascii="Segoe UI Light" w:hAnsi="Segoe UI Light" w:cs="Segoe UI Light"/>
          <w:sz w:val="20"/>
          <w:szCs w:val="20"/>
        </w:rPr>
        <w:t>in the future</w:t>
      </w:r>
      <w:r w:rsidR="00EF7BAE">
        <w:rPr>
          <w:rFonts w:ascii="Segoe UI Light" w:hAnsi="Segoe UI Light" w:cs="Segoe UI Light"/>
          <w:sz w:val="20"/>
          <w:szCs w:val="20"/>
        </w:rPr>
        <w:t xml:space="preserve">. </w:t>
      </w:r>
    </w:p>
    <w:p w14:paraId="7FC7608F" w14:textId="77777777" w:rsidR="002D4860" w:rsidRDefault="009801A2"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deprivation </w:t>
      </w:r>
      <w:r w:rsidR="00F45973">
        <w:rPr>
          <w:rFonts w:ascii="Segoe UI Light" w:hAnsi="Segoe UI Light" w:cs="Segoe UI Light"/>
          <w:sz w:val="20"/>
          <w:szCs w:val="20"/>
        </w:rPr>
        <w:t xml:space="preserve">presents as a lack of material resources such as </w:t>
      </w:r>
      <w:proofErr w:type="gramStart"/>
      <w:r w:rsidR="00D719DE">
        <w:rPr>
          <w:rFonts w:ascii="Segoe UI Light" w:hAnsi="Segoe UI Light" w:cs="Segoe UI Light"/>
          <w:sz w:val="20"/>
          <w:szCs w:val="20"/>
        </w:rPr>
        <w:t xml:space="preserve">basic </w:t>
      </w:r>
      <w:r w:rsidR="002D4860">
        <w:rPr>
          <w:rFonts w:ascii="Segoe UI Light" w:hAnsi="Segoe UI Light" w:cs="Segoe UI Light"/>
          <w:sz w:val="20"/>
          <w:szCs w:val="20"/>
        </w:rPr>
        <w:t>n</w:t>
      </w:r>
      <w:r w:rsidR="00D719DE">
        <w:rPr>
          <w:rFonts w:ascii="Segoe UI Light" w:hAnsi="Segoe UI Light" w:cs="Segoe UI Light"/>
          <w:sz w:val="20"/>
          <w:szCs w:val="20"/>
        </w:rPr>
        <w:t>ecessities</w:t>
      </w:r>
      <w:proofErr w:type="gramEnd"/>
      <w:r w:rsidR="00F45973">
        <w:rPr>
          <w:rFonts w:ascii="Segoe UI Light" w:hAnsi="Segoe UI Light" w:cs="Segoe UI Light"/>
          <w:sz w:val="20"/>
          <w:szCs w:val="20"/>
        </w:rPr>
        <w:t xml:space="preserve"> </w:t>
      </w:r>
      <w:r w:rsidR="00CD2684">
        <w:rPr>
          <w:rFonts w:ascii="Segoe UI Light" w:hAnsi="Segoe UI Light" w:cs="Segoe UI Light"/>
          <w:sz w:val="20"/>
          <w:szCs w:val="20"/>
        </w:rPr>
        <w:t>(</w:t>
      </w:r>
      <w:r w:rsidR="00F45973">
        <w:rPr>
          <w:rFonts w:ascii="Segoe UI Light" w:hAnsi="Segoe UI Light" w:cs="Segoe UI Light"/>
          <w:sz w:val="20"/>
          <w:szCs w:val="20"/>
        </w:rPr>
        <w:t>food, shelter</w:t>
      </w:r>
      <w:r w:rsidR="00CD2684">
        <w:rPr>
          <w:rFonts w:ascii="Segoe UI Light" w:hAnsi="Segoe UI Light" w:cs="Segoe UI Light"/>
          <w:sz w:val="20"/>
          <w:szCs w:val="20"/>
        </w:rPr>
        <w:t xml:space="preserve">, and </w:t>
      </w:r>
      <w:r w:rsidR="00F45973">
        <w:rPr>
          <w:rFonts w:ascii="Segoe UI Light" w:hAnsi="Segoe UI Light" w:cs="Segoe UI Light"/>
          <w:sz w:val="20"/>
          <w:szCs w:val="20"/>
        </w:rPr>
        <w:t>clean water</w:t>
      </w:r>
      <w:r w:rsidR="00CD2684">
        <w:rPr>
          <w:rFonts w:ascii="Segoe UI Light" w:hAnsi="Segoe UI Light" w:cs="Segoe UI Light"/>
          <w:sz w:val="20"/>
          <w:szCs w:val="20"/>
        </w:rPr>
        <w:t>)</w:t>
      </w:r>
      <w:r w:rsidR="002D4860">
        <w:rPr>
          <w:rFonts w:ascii="Segoe UI Light" w:hAnsi="Segoe UI Light" w:cs="Segoe UI Light"/>
          <w:sz w:val="20"/>
          <w:szCs w:val="20"/>
        </w:rPr>
        <w:t>,</w:t>
      </w:r>
      <w:r w:rsidR="00CD2684">
        <w:rPr>
          <w:rFonts w:ascii="Segoe UI Light" w:hAnsi="Segoe UI Light" w:cs="Segoe UI Light"/>
          <w:sz w:val="20"/>
          <w:szCs w:val="20"/>
        </w:rPr>
        <w:t xml:space="preserve"> resul</w:t>
      </w:r>
      <w:r w:rsidR="002D4860">
        <w:rPr>
          <w:rFonts w:ascii="Segoe UI Light" w:hAnsi="Segoe UI Light" w:cs="Segoe UI Light"/>
          <w:sz w:val="20"/>
          <w:szCs w:val="20"/>
        </w:rPr>
        <w:t>ting</w:t>
      </w:r>
      <w:r w:rsidR="00CD2684">
        <w:rPr>
          <w:rFonts w:ascii="Segoe UI Light" w:hAnsi="Segoe UI Light" w:cs="Segoe UI Light"/>
          <w:sz w:val="20"/>
          <w:szCs w:val="20"/>
        </w:rPr>
        <w:t xml:space="preserve"> in poverty.</w:t>
      </w:r>
      <w:r w:rsidR="00D719DE">
        <w:rPr>
          <w:rFonts w:ascii="Segoe UI Light" w:hAnsi="Segoe UI Light" w:cs="Segoe UI Light"/>
          <w:sz w:val="20"/>
          <w:szCs w:val="20"/>
        </w:rPr>
        <w:t xml:space="preserve"> </w:t>
      </w:r>
    </w:p>
    <w:p w14:paraId="77C5F0B4" w14:textId="77777777" w:rsidR="002D4860" w:rsidRDefault="002D4860"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t</w:t>
      </w:r>
      <w:r w:rsidR="00D719DE">
        <w:rPr>
          <w:rFonts w:ascii="Segoe UI Light" w:hAnsi="Segoe UI Light" w:cs="Segoe UI Light"/>
          <w:sz w:val="20"/>
          <w:szCs w:val="20"/>
        </w:rPr>
        <w:t xml:space="preserve">he gross national </w:t>
      </w:r>
      <w:r w:rsidR="00395F68">
        <w:rPr>
          <w:rFonts w:ascii="Segoe UI Light" w:hAnsi="Segoe UI Light" w:cs="Segoe UI Light"/>
          <w:sz w:val="20"/>
          <w:szCs w:val="20"/>
        </w:rPr>
        <w:t xml:space="preserve">income affects the government’s ability to provide </w:t>
      </w:r>
      <w:r w:rsidR="00B05E3C">
        <w:rPr>
          <w:rFonts w:ascii="Segoe UI Light" w:hAnsi="Segoe UI Light" w:cs="Segoe UI Light"/>
          <w:sz w:val="20"/>
          <w:szCs w:val="20"/>
        </w:rPr>
        <w:t xml:space="preserve">resources to its citizens, those experiencing poverty </w:t>
      </w:r>
      <w:r w:rsidR="00C00A21">
        <w:rPr>
          <w:rFonts w:ascii="Segoe UI Light" w:hAnsi="Segoe UI Light" w:cs="Segoe UI Light"/>
          <w:sz w:val="20"/>
          <w:szCs w:val="20"/>
        </w:rPr>
        <w:t>have</w:t>
      </w:r>
    </w:p>
    <w:p w14:paraId="787F1E16" w14:textId="252248C6" w:rsidR="00B60BDC" w:rsidRDefault="00C00A21"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higher rates of communicable disease</w:t>
      </w:r>
      <w:r w:rsidR="00256201">
        <w:rPr>
          <w:rFonts w:ascii="Segoe UI Light" w:hAnsi="Segoe UI Light" w:cs="Segoe UI Light"/>
          <w:sz w:val="20"/>
          <w:szCs w:val="20"/>
        </w:rPr>
        <w:t xml:space="preserve"> and/or child and adult mortality, </w:t>
      </w:r>
      <w:r w:rsidR="00B60BDC">
        <w:rPr>
          <w:rFonts w:ascii="Segoe UI Light" w:hAnsi="Segoe UI Light" w:cs="Segoe UI Light"/>
          <w:sz w:val="20"/>
          <w:szCs w:val="20"/>
        </w:rPr>
        <w:t>whereas</w:t>
      </w:r>
      <w:r w:rsidR="00256201">
        <w:rPr>
          <w:rFonts w:ascii="Segoe UI Light" w:hAnsi="Segoe UI Light" w:cs="Segoe UI Light"/>
          <w:sz w:val="20"/>
          <w:szCs w:val="20"/>
        </w:rPr>
        <w:t xml:space="preserve"> high-income countries (USA) </w:t>
      </w:r>
      <w:r w:rsidR="00B60BDC">
        <w:rPr>
          <w:rFonts w:ascii="Segoe UI Light" w:hAnsi="Segoe UI Light" w:cs="Segoe UI Light"/>
          <w:sz w:val="20"/>
          <w:szCs w:val="20"/>
        </w:rPr>
        <w:t xml:space="preserve">may not experience </w:t>
      </w:r>
    </w:p>
    <w:p w14:paraId="19319A37" w14:textId="77A9B908" w:rsidR="00B26F7F" w:rsidRDefault="00B60BDC" w:rsidP="005369A4">
      <w:pPr>
        <w:pStyle w:val="NoSpacing"/>
        <w:spacing w:line="360" w:lineRule="auto"/>
        <w:ind w:right="-755"/>
        <w:rPr>
          <w:rFonts w:ascii="Segoe UI Light" w:hAnsi="Segoe UI Light" w:cs="Segoe UI Light"/>
          <w:sz w:val="20"/>
          <w:szCs w:val="20"/>
        </w:rPr>
      </w:pPr>
      <w:r>
        <w:rPr>
          <w:rFonts w:ascii="Segoe UI Light" w:hAnsi="Segoe UI Light" w:cs="Segoe UI Light"/>
          <w:sz w:val="20"/>
          <w:szCs w:val="20"/>
        </w:rPr>
        <w:t xml:space="preserve">the struggle of trying to provide for its population (Indian government). </w:t>
      </w:r>
    </w:p>
    <w:p w14:paraId="24602EB3" w14:textId="77777777" w:rsidR="00F26CAD" w:rsidRDefault="00F26CAD" w:rsidP="00F26CAD">
      <w:pPr>
        <w:pStyle w:val="NoSpacing"/>
        <w:numPr>
          <w:ilvl w:val="0"/>
          <w:numId w:val="4"/>
        </w:numPr>
        <w:ind w:left="0" w:right="-755" w:hanging="284"/>
        <w:rPr>
          <w:rFonts w:ascii="Times New Roman" w:hAnsi="Times New Roman" w:cs="Times New Roman"/>
        </w:rPr>
      </w:pPr>
      <w:r w:rsidRPr="00D124DE">
        <w:rPr>
          <w:rFonts w:ascii="Times New Roman" w:hAnsi="Times New Roman" w:cs="Times New Roman"/>
        </w:rPr>
        <w:t xml:space="preserve">Outline two strengths and two limitations of the Human Development Index (HDI).           </w:t>
      </w:r>
      <w:r>
        <w:rPr>
          <w:rFonts w:ascii="Times New Roman" w:hAnsi="Times New Roman" w:cs="Times New Roman"/>
        </w:rPr>
        <w:t xml:space="preserve">                   </w:t>
      </w:r>
      <w:r w:rsidRPr="00D124DE">
        <w:rPr>
          <w:rFonts w:ascii="Times New Roman" w:hAnsi="Times New Roman" w:cs="Times New Roman"/>
        </w:rPr>
        <w:t xml:space="preserve"> 4 marks</w:t>
      </w:r>
    </w:p>
    <w:p w14:paraId="24602EB4" w14:textId="77777777" w:rsidR="00F26CAD" w:rsidRPr="00D124DE" w:rsidRDefault="00F26CAD" w:rsidP="00F26CAD">
      <w:pPr>
        <w:pStyle w:val="NoSpacing"/>
        <w:ind w:right="-755"/>
        <w:rPr>
          <w:rFonts w:ascii="Times New Roman" w:hAnsi="Times New Roman" w:cs="Times New Roman"/>
        </w:rPr>
      </w:pPr>
    </w:p>
    <w:p w14:paraId="1959FC7B" w14:textId="2A6C56AF" w:rsidR="002274F7" w:rsidRDefault="0093768A" w:rsidP="00EE3294">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t</w:t>
      </w:r>
      <w:r w:rsidR="00EE3294">
        <w:rPr>
          <w:rFonts w:ascii="Segoe UI Light" w:hAnsi="Segoe UI Light" w:cs="Segoe UI Light"/>
          <w:color w:val="000000" w:themeColor="text1"/>
          <w:sz w:val="20"/>
          <w:szCs w:val="20"/>
          <w:lang w:eastAsia="en-AU"/>
        </w:rPr>
        <w:t xml:space="preserve">he human development index </w:t>
      </w:r>
      <w:r>
        <w:rPr>
          <w:rFonts w:ascii="Segoe UI Light" w:hAnsi="Segoe UI Light" w:cs="Segoe UI Light"/>
          <w:color w:val="000000" w:themeColor="text1"/>
          <w:sz w:val="20"/>
          <w:szCs w:val="20"/>
          <w:lang w:eastAsia="en-AU"/>
        </w:rPr>
        <w:t xml:space="preserve">is not only a measure of the level of human development in a country, however, it also </w:t>
      </w:r>
      <w:proofErr w:type="gramStart"/>
      <w:r>
        <w:rPr>
          <w:rFonts w:ascii="Segoe UI Light" w:hAnsi="Segoe UI Light" w:cs="Segoe UI Light"/>
          <w:color w:val="000000" w:themeColor="text1"/>
          <w:sz w:val="20"/>
          <w:szCs w:val="20"/>
          <w:lang w:eastAsia="en-AU"/>
        </w:rPr>
        <w:t>takes into account</w:t>
      </w:r>
      <w:proofErr w:type="gramEnd"/>
      <w:r>
        <w:rPr>
          <w:rFonts w:ascii="Segoe UI Light" w:hAnsi="Segoe UI Light" w:cs="Segoe UI Light"/>
          <w:color w:val="000000" w:themeColor="text1"/>
          <w:sz w:val="20"/>
          <w:szCs w:val="20"/>
          <w:lang w:eastAsia="en-AU"/>
        </w:rPr>
        <w:t xml:space="preserve"> various </w:t>
      </w:r>
      <w:r w:rsidR="000D7902">
        <w:rPr>
          <w:rFonts w:ascii="Segoe UI Light" w:hAnsi="Segoe UI Light" w:cs="Segoe UI Light"/>
          <w:color w:val="000000" w:themeColor="text1"/>
          <w:sz w:val="20"/>
          <w:szCs w:val="20"/>
          <w:lang w:eastAsia="en-AU"/>
        </w:rPr>
        <w:t xml:space="preserve">advantages and limitations </w:t>
      </w:r>
      <w:r w:rsidR="00EA36ED">
        <w:rPr>
          <w:rFonts w:ascii="Segoe UI Light" w:hAnsi="Segoe UI Light" w:cs="Segoe UI Light"/>
          <w:color w:val="000000" w:themeColor="text1"/>
          <w:sz w:val="20"/>
          <w:szCs w:val="20"/>
          <w:lang w:eastAsia="en-AU"/>
        </w:rPr>
        <w:t>for a population. it acknowledges and address the broader socioeconomic factors impacting human development</w:t>
      </w:r>
      <w:r w:rsidR="00823C50">
        <w:rPr>
          <w:rFonts w:ascii="Segoe UI Light" w:hAnsi="Segoe UI Light" w:cs="Segoe UI Light"/>
          <w:color w:val="000000" w:themeColor="text1"/>
          <w:sz w:val="20"/>
          <w:szCs w:val="20"/>
          <w:lang w:eastAsia="en-AU"/>
        </w:rPr>
        <w:t xml:space="preserve">, although it is not one dimensional, it combines dimensions of health, education and living standards. </w:t>
      </w:r>
      <w:r w:rsidR="00096E4B">
        <w:rPr>
          <w:rFonts w:ascii="Segoe UI Light" w:hAnsi="Segoe UI Light" w:cs="Segoe UI Light"/>
          <w:color w:val="000000" w:themeColor="text1"/>
          <w:sz w:val="20"/>
          <w:szCs w:val="20"/>
          <w:lang w:eastAsia="en-AU"/>
        </w:rPr>
        <w:t xml:space="preserve">the single statistical measure between 0-1 </w:t>
      </w:r>
      <w:r w:rsidR="001534DA">
        <w:rPr>
          <w:rFonts w:ascii="Segoe UI Light" w:hAnsi="Segoe UI Light" w:cs="Segoe UI Light"/>
          <w:color w:val="000000" w:themeColor="text1"/>
          <w:sz w:val="20"/>
          <w:szCs w:val="20"/>
          <w:lang w:eastAsia="en-AU"/>
        </w:rPr>
        <w:t xml:space="preserve">may highlight a comparison between different countries, however, it does not tell us anything about individual dimensions. </w:t>
      </w:r>
      <w:r w:rsidR="00C457A6">
        <w:rPr>
          <w:rFonts w:ascii="Segoe UI Light" w:hAnsi="Segoe UI Light" w:cs="Segoe UI Light"/>
          <w:color w:val="000000" w:themeColor="text1"/>
          <w:sz w:val="20"/>
          <w:szCs w:val="20"/>
          <w:lang w:eastAsia="en-AU"/>
        </w:rPr>
        <w:t>l</w:t>
      </w:r>
      <w:r w:rsidR="00A123BD">
        <w:rPr>
          <w:rFonts w:ascii="Segoe UI Light" w:hAnsi="Segoe UI Light" w:cs="Segoe UI Light"/>
          <w:color w:val="000000" w:themeColor="text1"/>
          <w:sz w:val="20"/>
          <w:szCs w:val="20"/>
          <w:lang w:eastAsia="en-AU"/>
        </w:rPr>
        <w:t xml:space="preserve">ow-income countries may not have reliable data for the indicators such as life expectancy at birth or mean years of schooling due to not </w:t>
      </w:r>
      <w:r w:rsidR="00C457A6">
        <w:rPr>
          <w:rFonts w:ascii="Segoe UI Light" w:hAnsi="Segoe UI Light" w:cs="Segoe UI Light"/>
          <w:color w:val="000000" w:themeColor="text1"/>
          <w:sz w:val="20"/>
          <w:szCs w:val="20"/>
          <w:lang w:eastAsia="en-AU"/>
        </w:rPr>
        <w:t>everything (</w:t>
      </w:r>
      <w:proofErr w:type="gramStart"/>
      <w:r w:rsidR="00C457A6">
        <w:rPr>
          <w:rFonts w:ascii="Segoe UI Light" w:hAnsi="Segoe UI Light" w:cs="Segoe UI Light"/>
          <w:color w:val="000000" w:themeColor="text1"/>
          <w:sz w:val="20"/>
          <w:szCs w:val="20"/>
          <w:lang w:eastAsia="en-AU"/>
        </w:rPr>
        <w:t>e.g.</w:t>
      </w:r>
      <w:proofErr w:type="gramEnd"/>
      <w:r w:rsidR="00876039">
        <w:rPr>
          <w:rFonts w:ascii="Segoe UI Light" w:hAnsi="Segoe UI Light" w:cs="Segoe UI Light"/>
          <w:color w:val="000000" w:themeColor="text1"/>
          <w:sz w:val="20"/>
          <w:szCs w:val="20"/>
          <w:lang w:eastAsia="en-AU"/>
        </w:rPr>
        <w:t xml:space="preserve"> </w:t>
      </w:r>
      <w:r w:rsidR="00C457A6">
        <w:rPr>
          <w:rFonts w:ascii="Segoe UI Light" w:hAnsi="Segoe UI Light" w:cs="Segoe UI Light"/>
          <w:color w:val="000000" w:themeColor="text1"/>
          <w:sz w:val="20"/>
          <w:szCs w:val="20"/>
          <w:lang w:eastAsia="en-AU"/>
        </w:rPr>
        <w:t xml:space="preserve">birth </w:t>
      </w:r>
      <w:r w:rsidR="003C0494">
        <w:rPr>
          <w:rFonts w:ascii="Segoe UI Light" w:hAnsi="Segoe UI Light" w:cs="Segoe UI Light"/>
          <w:color w:val="000000" w:themeColor="text1"/>
          <w:sz w:val="20"/>
          <w:szCs w:val="20"/>
          <w:lang w:eastAsia="en-AU"/>
        </w:rPr>
        <w:t xml:space="preserve">and death) </w:t>
      </w:r>
      <w:r w:rsidR="00C457A6">
        <w:rPr>
          <w:rFonts w:ascii="Segoe UI Light" w:hAnsi="Segoe UI Light" w:cs="Segoe UI Light"/>
          <w:color w:val="000000" w:themeColor="text1"/>
          <w:sz w:val="20"/>
          <w:szCs w:val="20"/>
          <w:lang w:eastAsia="en-AU"/>
        </w:rPr>
        <w:t xml:space="preserve">being record by the government, therefore, the HDI may be inaccurate. </w:t>
      </w:r>
    </w:p>
    <w:p w14:paraId="5BC821CA" w14:textId="77777777" w:rsidR="00823C50" w:rsidRPr="00EE3294" w:rsidRDefault="00823C50" w:rsidP="00EE3294">
      <w:pPr>
        <w:spacing w:line="360" w:lineRule="auto"/>
        <w:ind w:right="-187"/>
        <w:rPr>
          <w:rFonts w:ascii="Segoe UI Light" w:hAnsi="Segoe UI Light" w:cs="Segoe UI Light"/>
          <w:color w:val="000000" w:themeColor="text1"/>
          <w:sz w:val="20"/>
          <w:szCs w:val="20"/>
          <w:lang w:eastAsia="en-AU"/>
        </w:rPr>
      </w:pPr>
    </w:p>
    <w:p w14:paraId="24602EBD" w14:textId="77777777" w:rsidR="00F26CAD" w:rsidRDefault="00F26CAD" w:rsidP="00F26CAD">
      <w:pPr>
        <w:ind w:left="-284"/>
      </w:pPr>
      <w:r w:rsidRPr="004C7781">
        <w:rPr>
          <w:b/>
        </w:rPr>
        <w:t xml:space="preserve">Question </w:t>
      </w:r>
      <w:proofErr w:type="gramStart"/>
      <w:r w:rsidRPr="004C7781">
        <w:rPr>
          <w:b/>
        </w:rPr>
        <w:t>5</w:t>
      </w:r>
      <w:r>
        <w:t xml:space="preserve">  (</w:t>
      </w:r>
      <w:proofErr w:type="gramEnd"/>
      <w:r>
        <w:t>8 marks)</w:t>
      </w:r>
    </w:p>
    <w:p w14:paraId="24602EBE" w14:textId="77777777" w:rsidR="00F26CAD" w:rsidRPr="00D124DE" w:rsidRDefault="00F26CAD" w:rsidP="00F26CAD">
      <w:pPr>
        <w:pStyle w:val="NoSpacing"/>
        <w:numPr>
          <w:ilvl w:val="0"/>
          <w:numId w:val="3"/>
        </w:numPr>
        <w:ind w:left="0" w:right="-755" w:hanging="284"/>
        <w:rPr>
          <w:rFonts w:ascii="Times New Roman" w:hAnsi="Times New Roman" w:cs="Times New Roman"/>
        </w:rPr>
      </w:pPr>
      <w:r w:rsidRPr="00D124DE">
        <w:rPr>
          <w:rFonts w:ascii="Times New Roman" w:hAnsi="Times New Roman" w:cs="Times New Roman"/>
        </w:rPr>
        <w:t xml:space="preserve">Using examples, explain the difference between social and economic sustainability. </w:t>
      </w:r>
      <w:r w:rsidRPr="00D124DE">
        <w:rPr>
          <w:rFonts w:ascii="Times New Roman" w:hAnsi="Times New Roman" w:cs="Times New Roman"/>
        </w:rPr>
        <w:tab/>
      </w:r>
      <w:r>
        <w:rPr>
          <w:rFonts w:ascii="Times New Roman" w:hAnsi="Times New Roman" w:cs="Times New Roman"/>
        </w:rPr>
        <w:t xml:space="preserve">                     </w:t>
      </w:r>
      <w:r w:rsidRPr="00D124DE">
        <w:rPr>
          <w:rFonts w:ascii="Times New Roman" w:hAnsi="Times New Roman" w:cs="Times New Roman"/>
        </w:rPr>
        <w:t>4 marks</w:t>
      </w:r>
    </w:p>
    <w:p w14:paraId="24602EBF" w14:textId="77777777" w:rsidR="00F26CAD" w:rsidRDefault="00F26CAD" w:rsidP="00F26CAD">
      <w:pPr>
        <w:pStyle w:val="NoSpacing"/>
        <w:ind w:right="-755" w:hanging="284"/>
        <w:rPr>
          <w:rFonts w:ascii="Times New Roman" w:hAnsi="Times New Roman" w:cs="Times New Roman"/>
        </w:rPr>
      </w:pPr>
    </w:p>
    <w:p w14:paraId="3181FD02" w14:textId="51AEF223" w:rsidR="00EE4FDB" w:rsidRPr="00C4743A" w:rsidRDefault="0027535A" w:rsidP="00C4743A">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s</w:t>
      </w:r>
      <w:r w:rsidR="00C4743A" w:rsidRPr="00C4743A">
        <w:rPr>
          <w:rFonts w:ascii="Segoe UI Light" w:hAnsi="Segoe UI Light" w:cs="Segoe UI Light"/>
          <w:color w:val="000000" w:themeColor="text1"/>
          <w:sz w:val="20"/>
          <w:szCs w:val="20"/>
          <w:lang w:eastAsia="en-AU"/>
        </w:rPr>
        <w:t>ocial</w:t>
      </w:r>
      <w:r>
        <w:rPr>
          <w:rFonts w:ascii="Segoe UI Light" w:hAnsi="Segoe UI Light" w:cs="Segoe UI Light"/>
          <w:color w:val="000000" w:themeColor="text1"/>
          <w:sz w:val="20"/>
          <w:szCs w:val="20"/>
          <w:lang w:eastAsia="en-AU"/>
        </w:rPr>
        <w:t xml:space="preserve"> sustainability relates to creating an equitable society that meets the needs of all citizens</w:t>
      </w:r>
      <w:r w:rsidR="004134E9">
        <w:rPr>
          <w:rFonts w:ascii="Segoe UI Light" w:hAnsi="Segoe UI Light" w:cs="Segoe UI Light"/>
          <w:color w:val="000000" w:themeColor="text1"/>
          <w:sz w:val="20"/>
          <w:szCs w:val="20"/>
          <w:lang w:eastAsia="en-AU"/>
        </w:rPr>
        <w:t xml:space="preserve"> and can be maintained indefinitely, </w:t>
      </w:r>
      <w:r w:rsidR="003D5137">
        <w:rPr>
          <w:rFonts w:ascii="Segoe UI Light" w:hAnsi="Segoe UI Light" w:cs="Segoe UI Light"/>
          <w:color w:val="000000" w:themeColor="text1"/>
          <w:sz w:val="20"/>
          <w:szCs w:val="20"/>
          <w:lang w:eastAsia="en-AU"/>
        </w:rPr>
        <w:t>an equitable society highlights upholding human rights</w:t>
      </w:r>
      <w:r w:rsidR="00835BF2">
        <w:rPr>
          <w:rFonts w:ascii="Segoe UI Light" w:hAnsi="Segoe UI Light" w:cs="Segoe UI Light"/>
          <w:color w:val="000000" w:themeColor="text1"/>
          <w:sz w:val="20"/>
          <w:szCs w:val="20"/>
          <w:lang w:eastAsia="en-AU"/>
        </w:rPr>
        <w:t xml:space="preserve">, encourages community participation, </w:t>
      </w:r>
      <w:r w:rsidR="00E358A9">
        <w:rPr>
          <w:rFonts w:ascii="Segoe UI Light" w:hAnsi="Segoe UI Light" w:cs="Segoe UI Light"/>
          <w:color w:val="000000" w:themeColor="text1"/>
          <w:sz w:val="20"/>
          <w:szCs w:val="20"/>
          <w:lang w:eastAsia="en-AU"/>
        </w:rPr>
        <w:t xml:space="preserve">provides equal access to </w:t>
      </w:r>
      <w:r w:rsidR="00BC53C7">
        <w:rPr>
          <w:rFonts w:ascii="Segoe UI Light" w:hAnsi="Segoe UI Light" w:cs="Segoe UI Light"/>
          <w:color w:val="000000" w:themeColor="text1"/>
          <w:sz w:val="20"/>
          <w:szCs w:val="20"/>
          <w:lang w:eastAsia="en-AU"/>
        </w:rPr>
        <w:t>resources,</w:t>
      </w:r>
      <w:r w:rsidR="00E358A9">
        <w:rPr>
          <w:rFonts w:ascii="Segoe UI Light" w:hAnsi="Segoe UI Light" w:cs="Segoe UI Light"/>
          <w:color w:val="000000" w:themeColor="text1"/>
          <w:sz w:val="20"/>
          <w:szCs w:val="20"/>
          <w:lang w:eastAsia="en-AU"/>
        </w:rPr>
        <w:t xml:space="preserve"> and allows people to participate in making decisions that impact their lives. </w:t>
      </w:r>
      <w:r w:rsidR="00BC53C7">
        <w:rPr>
          <w:rFonts w:ascii="Segoe UI Light" w:hAnsi="Segoe UI Light" w:cs="Segoe UI Light"/>
          <w:color w:val="000000" w:themeColor="text1"/>
          <w:sz w:val="20"/>
          <w:szCs w:val="20"/>
          <w:lang w:eastAsia="en-AU"/>
        </w:rPr>
        <w:t xml:space="preserve">to ensure social sustainability for both current and future generations </w:t>
      </w:r>
      <w:proofErr w:type="gramStart"/>
      <w:r w:rsidR="00BC53C7">
        <w:rPr>
          <w:rFonts w:ascii="Segoe UI Light" w:hAnsi="Segoe UI Light" w:cs="Segoe UI Light"/>
          <w:color w:val="000000" w:themeColor="text1"/>
          <w:sz w:val="20"/>
          <w:szCs w:val="20"/>
          <w:lang w:eastAsia="en-AU"/>
        </w:rPr>
        <w:t>a number of</w:t>
      </w:r>
      <w:proofErr w:type="gramEnd"/>
      <w:r w:rsidR="00BC53C7">
        <w:rPr>
          <w:rFonts w:ascii="Segoe UI Light" w:hAnsi="Segoe UI Light" w:cs="Segoe UI Light"/>
          <w:color w:val="000000" w:themeColor="text1"/>
          <w:sz w:val="20"/>
          <w:szCs w:val="20"/>
          <w:lang w:eastAsia="en-AU"/>
        </w:rPr>
        <w:t xml:space="preserve"> factors need to be considered such as</w:t>
      </w:r>
      <w:r w:rsidR="00C5371B">
        <w:rPr>
          <w:rFonts w:ascii="Segoe UI Light" w:hAnsi="Segoe UI Light" w:cs="Segoe UI Light"/>
          <w:color w:val="000000" w:themeColor="text1"/>
          <w:sz w:val="20"/>
          <w:szCs w:val="20"/>
          <w:lang w:eastAsia="en-AU"/>
        </w:rPr>
        <w:t xml:space="preserve"> </w:t>
      </w:r>
      <w:r w:rsidR="00342261">
        <w:rPr>
          <w:rFonts w:ascii="Segoe UI Light" w:hAnsi="Segoe UI Light" w:cs="Segoe UI Light"/>
          <w:color w:val="000000" w:themeColor="text1"/>
          <w:sz w:val="20"/>
          <w:szCs w:val="20"/>
          <w:lang w:eastAsia="en-AU"/>
        </w:rPr>
        <w:t xml:space="preserve">safe and decent working conditions, </w:t>
      </w:r>
      <w:r w:rsidR="00C5371B">
        <w:rPr>
          <w:rFonts w:ascii="Segoe UI Light" w:hAnsi="Segoe UI Light" w:cs="Segoe UI Light"/>
          <w:color w:val="000000" w:themeColor="text1"/>
          <w:sz w:val="20"/>
          <w:szCs w:val="20"/>
          <w:lang w:eastAsia="en-AU"/>
        </w:rPr>
        <w:t xml:space="preserve">political and legal rights, peace and security, gender equality, and </w:t>
      </w:r>
      <w:r w:rsidR="002B1A33">
        <w:rPr>
          <w:rFonts w:ascii="Segoe UI Light" w:hAnsi="Segoe UI Light" w:cs="Segoe UI Light"/>
          <w:color w:val="000000" w:themeColor="text1"/>
          <w:sz w:val="20"/>
          <w:szCs w:val="20"/>
          <w:lang w:eastAsia="en-AU"/>
        </w:rPr>
        <w:t xml:space="preserve">social protection systems. </w:t>
      </w:r>
      <w:r w:rsidR="00202776">
        <w:rPr>
          <w:rFonts w:ascii="Segoe UI Light" w:hAnsi="Segoe UI Light" w:cs="Segoe UI Light"/>
          <w:color w:val="000000" w:themeColor="text1"/>
          <w:sz w:val="20"/>
          <w:szCs w:val="20"/>
          <w:lang w:eastAsia="en-AU"/>
        </w:rPr>
        <w:t>whereas</w:t>
      </w:r>
      <w:r w:rsidR="004134E9">
        <w:rPr>
          <w:rFonts w:ascii="Segoe UI Light" w:hAnsi="Segoe UI Light" w:cs="Segoe UI Light"/>
          <w:color w:val="000000" w:themeColor="text1"/>
          <w:sz w:val="20"/>
          <w:szCs w:val="20"/>
          <w:lang w:eastAsia="en-AU"/>
        </w:rPr>
        <w:t xml:space="preserve"> economic sustainability relates</w:t>
      </w:r>
      <w:r w:rsidR="00D0429F">
        <w:rPr>
          <w:rFonts w:ascii="Segoe UI Light" w:hAnsi="Segoe UI Light" w:cs="Segoe UI Light"/>
          <w:color w:val="000000" w:themeColor="text1"/>
          <w:sz w:val="20"/>
          <w:szCs w:val="20"/>
          <w:lang w:eastAsia="en-AU"/>
        </w:rPr>
        <w:t xml:space="preserve"> to </w:t>
      </w:r>
      <w:r w:rsidR="0047006F">
        <w:rPr>
          <w:rFonts w:ascii="Segoe UI Light" w:hAnsi="Segoe UI Light" w:cs="Segoe UI Light"/>
          <w:color w:val="000000" w:themeColor="text1"/>
          <w:sz w:val="20"/>
          <w:szCs w:val="20"/>
          <w:lang w:eastAsia="en-AU"/>
        </w:rPr>
        <w:t>e</w:t>
      </w:r>
      <w:r w:rsidR="00202776">
        <w:rPr>
          <w:rFonts w:ascii="Segoe UI Light" w:hAnsi="Segoe UI Light" w:cs="Segoe UI Light"/>
          <w:color w:val="000000" w:themeColor="text1"/>
          <w:sz w:val="20"/>
          <w:szCs w:val="20"/>
          <w:lang w:eastAsia="en-AU"/>
        </w:rPr>
        <w:t xml:space="preserve">nsuring that average incomes in all countries are adequate to sustain a decent </w:t>
      </w:r>
      <w:r w:rsidR="0047006F">
        <w:rPr>
          <w:rFonts w:ascii="Segoe UI Light" w:hAnsi="Segoe UI Light" w:cs="Segoe UI Light"/>
          <w:color w:val="000000" w:themeColor="text1"/>
          <w:sz w:val="20"/>
          <w:szCs w:val="20"/>
          <w:lang w:eastAsia="en-AU"/>
        </w:rPr>
        <w:t>s</w:t>
      </w:r>
      <w:r w:rsidR="00202776">
        <w:rPr>
          <w:rFonts w:ascii="Segoe UI Light" w:hAnsi="Segoe UI Light" w:cs="Segoe UI Light"/>
          <w:color w:val="000000" w:themeColor="text1"/>
          <w:sz w:val="20"/>
          <w:szCs w:val="20"/>
          <w:lang w:eastAsia="en-AU"/>
        </w:rPr>
        <w:t>tandard of living and continue to rise in line with inflation and living costs in the future</w:t>
      </w:r>
      <w:r w:rsidR="0047006F">
        <w:rPr>
          <w:rFonts w:ascii="Segoe UI Light" w:hAnsi="Segoe UI Light" w:cs="Segoe UI Light"/>
          <w:color w:val="000000" w:themeColor="text1"/>
          <w:sz w:val="20"/>
          <w:szCs w:val="20"/>
          <w:lang w:eastAsia="en-AU"/>
        </w:rPr>
        <w:t xml:space="preserve">. </w:t>
      </w:r>
      <w:r w:rsidR="00737043">
        <w:rPr>
          <w:rFonts w:ascii="Segoe UI Light" w:hAnsi="Segoe UI Light" w:cs="Segoe UI Light"/>
          <w:color w:val="000000" w:themeColor="text1"/>
          <w:sz w:val="20"/>
          <w:szCs w:val="20"/>
          <w:lang w:eastAsia="en-AU"/>
        </w:rPr>
        <w:t xml:space="preserve">economic sustainability promotes </w:t>
      </w:r>
      <w:r w:rsidR="003E0BB9">
        <w:rPr>
          <w:rFonts w:ascii="Segoe UI Light" w:hAnsi="Segoe UI Light" w:cs="Segoe UI Light"/>
          <w:color w:val="000000" w:themeColor="text1"/>
          <w:sz w:val="20"/>
          <w:szCs w:val="20"/>
          <w:lang w:eastAsia="en-AU"/>
        </w:rPr>
        <w:t xml:space="preserve">the government </w:t>
      </w:r>
      <w:r w:rsidR="00737043">
        <w:rPr>
          <w:rFonts w:ascii="Segoe UI Light" w:hAnsi="Segoe UI Light" w:cs="Segoe UI Light"/>
          <w:color w:val="000000" w:themeColor="text1"/>
          <w:sz w:val="20"/>
          <w:szCs w:val="20"/>
          <w:lang w:eastAsia="en-AU"/>
        </w:rPr>
        <w:t xml:space="preserve">to </w:t>
      </w:r>
      <w:r w:rsidR="00211028">
        <w:rPr>
          <w:rFonts w:ascii="Segoe UI Light" w:hAnsi="Segoe UI Light" w:cs="Segoe UI Light"/>
          <w:color w:val="000000" w:themeColor="text1"/>
          <w:sz w:val="20"/>
          <w:szCs w:val="20"/>
          <w:lang w:eastAsia="en-AU"/>
        </w:rPr>
        <w:t>us</w:t>
      </w:r>
      <w:r w:rsidR="00737043">
        <w:rPr>
          <w:rFonts w:ascii="Segoe UI Light" w:hAnsi="Segoe UI Light" w:cs="Segoe UI Light"/>
          <w:color w:val="000000" w:themeColor="text1"/>
          <w:sz w:val="20"/>
          <w:szCs w:val="20"/>
          <w:lang w:eastAsia="en-AU"/>
        </w:rPr>
        <w:t xml:space="preserve">e </w:t>
      </w:r>
      <w:r w:rsidR="00211028">
        <w:rPr>
          <w:rFonts w:ascii="Segoe UI Light" w:hAnsi="Segoe UI Light" w:cs="Segoe UI Light"/>
          <w:color w:val="000000" w:themeColor="text1"/>
          <w:sz w:val="20"/>
          <w:szCs w:val="20"/>
          <w:lang w:eastAsia="en-AU"/>
        </w:rPr>
        <w:t>resources</w:t>
      </w:r>
      <w:r w:rsidR="00737043">
        <w:rPr>
          <w:rFonts w:ascii="Segoe UI Light" w:hAnsi="Segoe UI Light" w:cs="Segoe UI Light"/>
          <w:color w:val="000000" w:themeColor="text1"/>
          <w:sz w:val="20"/>
          <w:szCs w:val="20"/>
          <w:lang w:eastAsia="en-AU"/>
        </w:rPr>
        <w:t xml:space="preserve"> and managing </w:t>
      </w:r>
      <w:r w:rsidR="00737043">
        <w:rPr>
          <w:rFonts w:ascii="Segoe UI Light" w:hAnsi="Segoe UI Light" w:cs="Segoe UI Light"/>
          <w:color w:val="000000" w:themeColor="text1"/>
          <w:sz w:val="20"/>
          <w:szCs w:val="20"/>
          <w:lang w:eastAsia="en-AU"/>
        </w:rPr>
        <w:lastRenderedPageBreak/>
        <w:t xml:space="preserve">funds to ensure services and infrastructure are provided for current and future generations. </w:t>
      </w:r>
      <w:r w:rsidR="00D54555">
        <w:rPr>
          <w:rFonts w:ascii="Segoe UI Light" w:hAnsi="Segoe UI Light" w:cs="Segoe UI Light"/>
          <w:color w:val="000000" w:themeColor="text1"/>
          <w:sz w:val="20"/>
          <w:szCs w:val="20"/>
          <w:lang w:eastAsia="en-AU"/>
        </w:rPr>
        <w:t xml:space="preserve">to help ensure economic sustainability for </w:t>
      </w:r>
      <w:r w:rsidR="00BC53C7">
        <w:rPr>
          <w:rFonts w:ascii="Segoe UI Light" w:hAnsi="Segoe UI Light" w:cs="Segoe UI Light"/>
          <w:color w:val="000000" w:themeColor="text1"/>
          <w:sz w:val="20"/>
          <w:szCs w:val="20"/>
          <w:lang w:eastAsia="en-AU"/>
        </w:rPr>
        <w:t xml:space="preserve">both </w:t>
      </w:r>
      <w:r w:rsidR="00D54555">
        <w:rPr>
          <w:rFonts w:ascii="Segoe UI Light" w:hAnsi="Segoe UI Light" w:cs="Segoe UI Light"/>
          <w:color w:val="000000" w:themeColor="text1"/>
          <w:sz w:val="20"/>
          <w:szCs w:val="20"/>
          <w:lang w:eastAsia="en-AU"/>
        </w:rPr>
        <w:t xml:space="preserve">current and future generations </w:t>
      </w:r>
      <w:r w:rsidR="00EE4B13">
        <w:rPr>
          <w:rFonts w:ascii="Segoe UI Light" w:hAnsi="Segoe UI Light" w:cs="Segoe UI Light"/>
          <w:color w:val="000000" w:themeColor="text1"/>
          <w:sz w:val="20"/>
          <w:szCs w:val="20"/>
          <w:lang w:eastAsia="en-AU"/>
        </w:rPr>
        <w:t xml:space="preserve">there are </w:t>
      </w:r>
      <w:r w:rsidR="003D5137">
        <w:rPr>
          <w:rFonts w:ascii="Segoe UI Light" w:hAnsi="Segoe UI Light" w:cs="Segoe UI Light"/>
          <w:color w:val="000000" w:themeColor="text1"/>
          <w:sz w:val="20"/>
          <w:szCs w:val="20"/>
          <w:lang w:eastAsia="en-AU"/>
        </w:rPr>
        <w:t>several</w:t>
      </w:r>
      <w:r w:rsidR="00EE4B13">
        <w:rPr>
          <w:rFonts w:ascii="Segoe UI Light" w:hAnsi="Segoe UI Light" w:cs="Segoe UI Light"/>
          <w:color w:val="000000" w:themeColor="text1"/>
          <w:sz w:val="20"/>
          <w:szCs w:val="20"/>
          <w:lang w:eastAsia="en-AU"/>
        </w:rPr>
        <w:t xml:space="preserve"> considerations which are important such as </w:t>
      </w:r>
      <w:r w:rsidR="00342261">
        <w:rPr>
          <w:rFonts w:ascii="Segoe UI Light" w:hAnsi="Segoe UI Light" w:cs="Segoe UI Light"/>
          <w:color w:val="000000" w:themeColor="text1"/>
          <w:sz w:val="20"/>
          <w:szCs w:val="20"/>
          <w:lang w:eastAsia="en-AU"/>
        </w:rPr>
        <w:t xml:space="preserve">the innovation and diversity of industries, </w:t>
      </w:r>
      <w:r w:rsidR="007C670C">
        <w:rPr>
          <w:rFonts w:ascii="Segoe UI Light" w:hAnsi="Segoe UI Light" w:cs="Segoe UI Light"/>
          <w:color w:val="000000" w:themeColor="text1"/>
          <w:sz w:val="20"/>
          <w:szCs w:val="20"/>
          <w:lang w:eastAsia="en-AU"/>
        </w:rPr>
        <w:t xml:space="preserve">employment, economic growth, </w:t>
      </w:r>
      <w:r w:rsidR="00342261">
        <w:rPr>
          <w:rFonts w:ascii="Segoe UI Light" w:hAnsi="Segoe UI Light" w:cs="Segoe UI Light"/>
          <w:color w:val="000000" w:themeColor="text1"/>
          <w:sz w:val="20"/>
          <w:szCs w:val="20"/>
          <w:lang w:eastAsia="en-AU"/>
        </w:rPr>
        <w:t xml:space="preserve">and </w:t>
      </w:r>
      <w:r w:rsidR="007C670C">
        <w:rPr>
          <w:rFonts w:ascii="Segoe UI Light" w:hAnsi="Segoe UI Light" w:cs="Segoe UI Light"/>
          <w:color w:val="000000" w:themeColor="text1"/>
          <w:sz w:val="20"/>
          <w:szCs w:val="20"/>
          <w:lang w:eastAsia="en-AU"/>
        </w:rPr>
        <w:t>trade.</w:t>
      </w:r>
    </w:p>
    <w:p w14:paraId="24602EC7" w14:textId="77777777" w:rsidR="00F26CAD" w:rsidRDefault="00F26CAD" w:rsidP="00F26CAD">
      <w:pPr>
        <w:pStyle w:val="NoSpacing"/>
        <w:numPr>
          <w:ilvl w:val="0"/>
          <w:numId w:val="3"/>
        </w:numPr>
        <w:ind w:left="0" w:right="-755" w:hanging="284"/>
        <w:rPr>
          <w:rFonts w:ascii="Times New Roman" w:hAnsi="Times New Roman" w:cs="Times New Roman"/>
        </w:rPr>
      </w:pPr>
      <w:r w:rsidRPr="00D124DE">
        <w:rPr>
          <w:rFonts w:ascii="Times New Roman" w:hAnsi="Times New Roman" w:cs="Times New Roman"/>
        </w:rPr>
        <w:t xml:space="preserve">Outline two reasons why environmental sustainability is important for the promotion of health and </w:t>
      </w:r>
    </w:p>
    <w:p w14:paraId="24602EC8" w14:textId="77777777" w:rsidR="00F26CAD" w:rsidRPr="00D124DE" w:rsidRDefault="00F26CAD" w:rsidP="00F26CAD">
      <w:pPr>
        <w:pStyle w:val="NoSpacing"/>
        <w:ind w:right="-755"/>
        <w:rPr>
          <w:rFonts w:ascii="Times New Roman" w:hAnsi="Times New Roman" w:cs="Times New Roman"/>
        </w:rPr>
      </w:pPr>
      <w:r w:rsidRPr="00D124DE">
        <w:rPr>
          <w:rFonts w:ascii="Times New Roman" w:hAnsi="Times New Roman" w:cs="Times New Roman"/>
        </w:rPr>
        <w:t xml:space="preserve">wellbeing in a global context. </w:t>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sidRPr="00D124DE">
        <w:rPr>
          <w:rFonts w:ascii="Times New Roman" w:hAnsi="Times New Roman" w:cs="Times New Roman"/>
        </w:rPr>
        <w:tab/>
      </w:r>
      <w:r>
        <w:rPr>
          <w:rFonts w:ascii="Times New Roman" w:hAnsi="Times New Roman" w:cs="Times New Roman"/>
        </w:rPr>
        <w:t xml:space="preserve">                     </w:t>
      </w:r>
      <w:r w:rsidRPr="00D124DE">
        <w:rPr>
          <w:rFonts w:ascii="Times New Roman" w:hAnsi="Times New Roman" w:cs="Times New Roman"/>
        </w:rPr>
        <w:t>4 marks</w:t>
      </w:r>
    </w:p>
    <w:p w14:paraId="430090E3" w14:textId="77777777" w:rsidR="00EE4FDB" w:rsidRDefault="00EE4FDB" w:rsidP="00EE4FDB"/>
    <w:p w14:paraId="781D34BA" w14:textId="69EA498D" w:rsidR="00EE4FDB" w:rsidRPr="00EE4FDB" w:rsidRDefault="00EE4FDB" w:rsidP="00EE4FDB">
      <w:pPr>
        <w:spacing w:line="360" w:lineRule="auto"/>
        <w:rPr>
          <w:rFonts w:ascii="Segoe UI Light" w:hAnsi="Segoe UI Light" w:cs="Segoe UI Light"/>
          <w:sz w:val="20"/>
          <w:szCs w:val="20"/>
        </w:rPr>
      </w:pPr>
      <w:r w:rsidRPr="00EE4FDB">
        <w:rPr>
          <w:rFonts w:ascii="Segoe UI Light" w:hAnsi="Segoe UI Light" w:cs="Segoe UI Light"/>
          <w:sz w:val="20"/>
          <w:szCs w:val="20"/>
        </w:rPr>
        <w:t xml:space="preserve">environmental sustainability </w:t>
      </w:r>
      <w:r>
        <w:rPr>
          <w:rFonts w:ascii="Segoe UI Light" w:hAnsi="Segoe UI Light" w:cs="Segoe UI Light"/>
          <w:sz w:val="20"/>
          <w:szCs w:val="20"/>
        </w:rPr>
        <w:t>highlights</w:t>
      </w:r>
      <w:r w:rsidRPr="00EE4FDB">
        <w:rPr>
          <w:rFonts w:ascii="Segoe UI Light" w:hAnsi="Segoe UI Light" w:cs="Segoe UI Light"/>
          <w:sz w:val="20"/>
          <w:szCs w:val="20"/>
        </w:rPr>
        <w:t xml:space="preserve"> that people around the world will have ongoing access to clean water and air</w:t>
      </w:r>
      <w:r>
        <w:rPr>
          <w:rFonts w:ascii="Segoe UI Light" w:hAnsi="Segoe UI Light" w:cs="Segoe UI Light"/>
          <w:sz w:val="20"/>
          <w:szCs w:val="20"/>
        </w:rPr>
        <w:t>,</w:t>
      </w:r>
      <w:r w:rsidRPr="00EE4FDB">
        <w:rPr>
          <w:rFonts w:ascii="Segoe UI Light" w:hAnsi="Segoe UI Light" w:cs="Segoe UI Light"/>
          <w:sz w:val="20"/>
          <w:szCs w:val="20"/>
        </w:rPr>
        <w:t xml:space="preserve"> reduc</w:t>
      </w:r>
      <w:r>
        <w:rPr>
          <w:rFonts w:ascii="Segoe UI Light" w:hAnsi="Segoe UI Light" w:cs="Segoe UI Light"/>
          <w:sz w:val="20"/>
          <w:szCs w:val="20"/>
        </w:rPr>
        <w:t xml:space="preserve">ing </w:t>
      </w:r>
      <w:r w:rsidRPr="00EE4FDB">
        <w:rPr>
          <w:rFonts w:ascii="Segoe UI Light" w:hAnsi="Segoe UI Light" w:cs="Segoe UI Light"/>
          <w:sz w:val="20"/>
          <w:szCs w:val="20"/>
        </w:rPr>
        <w:t xml:space="preserve">the risk of infectious </w:t>
      </w:r>
      <w:r>
        <w:rPr>
          <w:rFonts w:ascii="Segoe UI Light" w:hAnsi="Segoe UI Light" w:cs="Segoe UI Light"/>
          <w:sz w:val="20"/>
          <w:szCs w:val="20"/>
        </w:rPr>
        <w:t xml:space="preserve">and </w:t>
      </w:r>
      <w:r w:rsidRPr="00EE4FDB">
        <w:rPr>
          <w:rFonts w:ascii="Segoe UI Light" w:hAnsi="Segoe UI Light" w:cs="Segoe UI Light"/>
          <w:sz w:val="20"/>
          <w:szCs w:val="20"/>
        </w:rPr>
        <w:t xml:space="preserve">respiratory diseases </w:t>
      </w:r>
      <w:r w:rsidR="00C3586E">
        <w:rPr>
          <w:rFonts w:ascii="Segoe UI Light" w:hAnsi="Segoe UI Light" w:cs="Segoe UI Light"/>
          <w:sz w:val="20"/>
          <w:szCs w:val="20"/>
        </w:rPr>
        <w:t xml:space="preserve">which </w:t>
      </w:r>
      <w:r w:rsidRPr="00EE4FDB">
        <w:rPr>
          <w:rFonts w:ascii="Segoe UI Light" w:hAnsi="Segoe UI Light" w:cs="Segoe UI Light"/>
          <w:sz w:val="20"/>
          <w:szCs w:val="20"/>
        </w:rPr>
        <w:t xml:space="preserve">promotes physical health and wellbeing globally. it also means that people will be more able to attend school and work as they are less likely to be sick, </w:t>
      </w:r>
      <w:r w:rsidR="00C3586E">
        <w:rPr>
          <w:rFonts w:ascii="Segoe UI Light" w:hAnsi="Segoe UI Light" w:cs="Segoe UI Light"/>
          <w:sz w:val="20"/>
          <w:szCs w:val="20"/>
        </w:rPr>
        <w:t>which means</w:t>
      </w:r>
      <w:r w:rsidRPr="00EE4FDB">
        <w:rPr>
          <w:rFonts w:ascii="Segoe UI Light" w:hAnsi="Segoe UI Light" w:cs="Segoe UI Light"/>
          <w:sz w:val="20"/>
          <w:szCs w:val="20"/>
        </w:rPr>
        <w:t xml:space="preserve"> that they can work towards their purpose in life</w:t>
      </w:r>
      <w:r w:rsidR="00C3586E">
        <w:rPr>
          <w:rFonts w:ascii="Segoe UI Light" w:hAnsi="Segoe UI Light" w:cs="Segoe UI Light"/>
          <w:sz w:val="20"/>
          <w:szCs w:val="20"/>
        </w:rPr>
        <w:t xml:space="preserve">, </w:t>
      </w:r>
      <w:r w:rsidRPr="00EE4FDB">
        <w:rPr>
          <w:rFonts w:ascii="Segoe UI Light" w:hAnsi="Segoe UI Light" w:cs="Segoe UI Light"/>
          <w:sz w:val="20"/>
          <w:szCs w:val="20"/>
        </w:rPr>
        <w:t xml:space="preserve">promoting spiritual health and wellbeing on a global scale. </w:t>
      </w:r>
    </w:p>
    <w:p w14:paraId="24602ED2" w14:textId="77777777" w:rsidR="00F26CAD" w:rsidRDefault="00F26CAD" w:rsidP="00F26CAD">
      <w:pPr>
        <w:pStyle w:val="NoSpacing"/>
        <w:rPr>
          <w:rFonts w:ascii="Times New Roman" w:hAnsi="Times New Roman" w:cs="Times New Roman"/>
        </w:rPr>
      </w:pPr>
    </w:p>
    <w:p w14:paraId="24602ED3" w14:textId="77777777" w:rsidR="00F26CAD" w:rsidRDefault="00F26CAD" w:rsidP="00F26CAD">
      <w:pPr>
        <w:pStyle w:val="NoSpacing"/>
        <w:rPr>
          <w:rFonts w:ascii="Times New Roman" w:hAnsi="Times New Roman" w:cs="Times New Roman"/>
        </w:rPr>
      </w:pPr>
    </w:p>
    <w:p w14:paraId="24602ED4" w14:textId="77777777" w:rsidR="00F26CAD" w:rsidRDefault="00F26CAD" w:rsidP="00F26CAD">
      <w:pPr>
        <w:pStyle w:val="NoSpacing"/>
        <w:rPr>
          <w:rFonts w:ascii="Times New Roman" w:hAnsi="Times New Roman" w:cs="Times New Roman"/>
        </w:rPr>
      </w:pPr>
    </w:p>
    <w:p w14:paraId="24602ED5" w14:textId="77777777" w:rsidR="00F26CAD" w:rsidRDefault="00F26CAD" w:rsidP="00F26CAD">
      <w:pPr>
        <w:pStyle w:val="NoSpacing"/>
        <w:rPr>
          <w:rFonts w:ascii="Times New Roman" w:hAnsi="Times New Roman" w:cs="Times New Roman"/>
        </w:rPr>
      </w:pPr>
    </w:p>
    <w:p w14:paraId="24602ED6" w14:textId="77777777" w:rsidR="00F26CAD" w:rsidRDefault="00F26CAD" w:rsidP="00F26CAD">
      <w:pPr>
        <w:pStyle w:val="NoSpacing"/>
        <w:rPr>
          <w:rFonts w:ascii="Times New Roman" w:hAnsi="Times New Roman" w:cs="Times New Roman"/>
        </w:rPr>
      </w:pPr>
    </w:p>
    <w:p w14:paraId="24602ED7" w14:textId="77777777" w:rsidR="00F26CAD" w:rsidRDefault="00F26CAD" w:rsidP="00F26CAD">
      <w:pPr>
        <w:pStyle w:val="NoSpacing"/>
        <w:rPr>
          <w:rFonts w:ascii="Times New Roman" w:hAnsi="Times New Roman" w:cs="Times New Roman"/>
        </w:rPr>
      </w:pPr>
    </w:p>
    <w:p w14:paraId="24602ED8" w14:textId="77777777" w:rsidR="00F26CAD" w:rsidRDefault="00F26CAD" w:rsidP="00F26CAD">
      <w:pPr>
        <w:pStyle w:val="NoSpacing"/>
        <w:rPr>
          <w:rFonts w:ascii="Times New Roman" w:hAnsi="Times New Roman" w:cs="Times New Roman"/>
        </w:rPr>
      </w:pPr>
    </w:p>
    <w:p w14:paraId="24602ED9" w14:textId="77777777" w:rsidR="00F26CAD" w:rsidRDefault="00F26CAD" w:rsidP="00F26CAD">
      <w:pPr>
        <w:pStyle w:val="NoSpacing"/>
        <w:rPr>
          <w:rFonts w:ascii="Times New Roman" w:hAnsi="Times New Roman" w:cs="Times New Roman"/>
        </w:rPr>
      </w:pPr>
    </w:p>
    <w:p w14:paraId="24602EDA" w14:textId="77777777" w:rsidR="00F26CAD" w:rsidRDefault="00F26CAD" w:rsidP="00F26CAD">
      <w:pPr>
        <w:pStyle w:val="NoSpacing"/>
        <w:rPr>
          <w:rFonts w:ascii="Times New Roman" w:hAnsi="Times New Roman" w:cs="Times New Roman"/>
        </w:rPr>
      </w:pPr>
    </w:p>
    <w:p w14:paraId="24602EDB" w14:textId="77777777" w:rsidR="00F26CAD" w:rsidRDefault="00F26CAD" w:rsidP="00F26CAD">
      <w:pPr>
        <w:pStyle w:val="NoSpacing"/>
        <w:rPr>
          <w:rFonts w:ascii="Times New Roman" w:hAnsi="Times New Roman" w:cs="Times New Roman"/>
        </w:rPr>
      </w:pPr>
    </w:p>
    <w:p w14:paraId="24602EDC" w14:textId="77777777" w:rsidR="00F26CAD" w:rsidRDefault="00F26CAD" w:rsidP="00F26CAD">
      <w:pPr>
        <w:pStyle w:val="NoSpacing"/>
        <w:rPr>
          <w:rFonts w:ascii="Times New Roman" w:hAnsi="Times New Roman" w:cs="Times New Roman"/>
        </w:rPr>
      </w:pPr>
    </w:p>
    <w:p w14:paraId="24602EDD" w14:textId="77777777" w:rsidR="00F26CAD" w:rsidRDefault="00F26CAD" w:rsidP="00F26CAD">
      <w:pPr>
        <w:pStyle w:val="NoSpacing"/>
        <w:rPr>
          <w:rFonts w:ascii="Times New Roman" w:hAnsi="Times New Roman" w:cs="Times New Roman"/>
        </w:rPr>
      </w:pPr>
    </w:p>
    <w:p w14:paraId="24602F0D" w14:textId="77777777" w:rsidR="00B57B99" w:rsidRDefault="00915509"/>
    <w:sectPr w:rsidR="00B57B99" w:rsidSect="00E1747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F225" w14:textId="77777777" w:rsidR="005858CE" w:rsidRDefault="005858CE" w:rsidP="005858CE">
      <w:r>
        <w:separator/>
      </w:r>
    </w:p>
  </w:endnote>
  <w:endnote w:type="continuationSeparator" w:id="0">
    <w:p w14:paraId="3295DB58" w14:textId="77777777" w:rsidR="005858CE" w:rsidRDefault="005858CE" w:rsidP="0058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68F0" w14:textId="77777777" w:rsidR="005858CE" w:rsidRDefault="005858CE" w:rsidP="005858CE">
      <w:r>
        <w:separator/>
      </w:r>
    </w:p>
  </w:footnote>
  <w:footnote w:type="continuationSeparator" w:id="0">
    <w:p w14:paraId="04BA97B1" w14:textId="77777777" w:rsidR="005858CE" w:rsidRDefault="005858CE" w:rsidP="0058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3474" w14:textId="413FA1A8" w:rsidR="005858CE" w:rsidRDefault="005858CE">
    <w:pPr>
      <w:pStyle w:val="Header"/>
    </w:pPr>
    <w:r>
      <w:rPr>
        <w:noProof/>
      </w:rPr>
      <mc:AlternateContent>
        <mc:Choice Requires="wps">
          <w:drawing>
            <wp:anchor distT="0" distB="0" distL="114300" distR="114300" simplePos="0" relativeHeight="251659264" behindDoc="0" locked="0" layoutInCell="1" allowOverlap="1" wp14:anchorId="41297EB3" wp14:editId="2C4D11BA">
              <wp:simplePos x="0" y="0"/>
              <wp:positionH relativeFrom="column">
                <wp:posOffset>-85725</wp:posOffset>
              </wp:positionH>
              <wp:positionV relativeFrom="paragraph">
                <wp:posOffset>-276088</wp:posOffset>
              </wp:positionV>
              <wp:extent cx="4337221" cy="2471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37221" cy="247135"/>
                      </a:xfrm>
                      <a:prstGeom prst="rect">
                        <a:avLst/>
                      </a:prstGeom>
                      <a:noFill/>
                      <a:ln w="6350">
                        <a:noFill/>
                      </a:ln>
                    </wps:spPr>
                    <wps:txbx>
                      <w:txbxContent>
                        <w:p w14:paraId="38E7EB9F" w14:textId="77777777" w:rsidR="005858CE" w:rsidRDefault="005858CE" w:rsidP="005858CE">
                          <w:pPr>
                            <w:pStyle w:val="Header"/>
                          </w:pPr>
                          <w:r w:rsidRPr="00F86457">
                            <w:rPr>
                              <w:sz w:val="20"/>
                              <w:szCs w:val="20"/>
                            </w:rPr>
                            <w:t>2</w:t>
                          </w:r>
                          <w:r>
                            <w:rPr>
                              <w:sz w:val="20"/>
                              <w:szCs w:val="20"/>
                            </w:rPr>
                            <w:t>0</w:t>
                          </w:r>
                          <w:r w:rsidRPr="00F86457">
                            <w:rPr>
                              <w:sz w:val="20"/>
                              <w:szCs w:val="20"/>
                            </w:rPr>
                            <w:t>1</w:t>
                          </w:r>
                          <w:r>
                            <w:rPr>
                              <w:sz w:val="20"/>
                              <w:szCs w:val="20"/>
                            </w:rPr>
                            <w:t>8</w:t>
                          </w:r>
                          <w:r w:rsidRPr="00F86457">
                            <w:rPr>
                              <w:sz w:val="20"/>
                              <w:szCs w:val="20"/>
                            </w:rPr>
                            <w:t xml:space="preserve"> HEALTH&amp;HUMDEV </w:t>
                          </w:r>
                          <w:r>
                            <w:rPr>
                              <w:sz w:val="20"/>
                              <w:szCs w:val="20"/>
                            </w:rPr>
                            <w:t>UNIT FOUR AREA OF STUDY ONE SAC</w:t>
                          </w:r>
                        </w:p>
                        <w:p w14:paraId="114DA44D" w14:textId="77777777" w:rsidR="005858CE" w:rsidRDefault="00585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297EB3" id="_x0000_t202" coordsize="21600,21600" o:spt="202" path="m,l,21600r21600,l21600,xe">
              <v:stroke joinstyle="miter"/>
              <v:path gradientshapeok="t" o:connecttype="rect"/>
            </v:shapetype>
            <v:shape id="Text Box 1" o:spid="_x0000_s1026" type="#_x0000_t202" style="position:absolute;margin-left:-6.75pt;margin-top:-21.75pt;width:341.5pt;height:1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" filled="f" stroked="f" strokeweight=".5pt">
              <v:textbox>
                <w:txbxContent>
                  <w:p w14:paraId="38E7EB9F" w14:textId="77777777" w:rsidR="005858CE" w:rsidRDefault="005858CE" w:rsidP="005858CE">
                    <w:pPr>
                      <w:pStyle w:val="Header"/>
                    </w:pPr>
                    <w:r w:rsidRPr="00F86457">
                      <w:rPr>
                        <w:sz w:val="20"/>
                        <w:szCs w:val="20"/>
                      </w:rPr>
                      <w:t>2</w:t>
                    </w:r>
                    <w:r>
                      <w:rPr>
                        <w:sz w:val="20"/>
                        <w:szCs w:val="20"/>
                      </w:rPr>
                      <w:t>0</w:t>
                    </w:r>
                    <w:r w:rsidRPr="00F86457">
                      <w:rPr>
                        <w:sz w:val="20"/>
                        <w:szCs w:val="20"/>
                      </w:rPr>
                      <w:t>1</w:t>
                    </w:r>
                    <w:r>
                      <w:rPr>
                        <w:sz w:val="20"/>
                        <w:szCs w:val="20"/>
                      </w:rPr>
                      <w:t>8</w:t>
                    </w:r>
                    <w:r w:rsidRPr="00F86457">
                      <w:rPr>
                        <w:sz w:val="20"/>
                        <w:szCs w:val="20"/>
                      </w:rPr>
                      <w:t xml:space="preserve"> HEALTH&amp;HUMDEV </w:t>
                    </w:r>
                    <w:r>
                      <w:rPr>
                        <w:sz w:val="20"/>
                        <w:szCs w:val="20"/>
                      </w:rPr>
                      <w:t>UNIT FOUR AREA OF STUDY ONE SAC</w:t>
                    </w:r>
                  </w:p>
                  <w:p w14:paraId="114DA44D" w14:textId="77777777" w:rsidR="005858CE" w:rsidRDefault="005858C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3E3"/>
    <w:multiLevelType w:val="hybridMultilevel"/>
    <w:tmpl w:val="A2BCB1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902CEA"/>
    <w:multiLevelType w:val="hybridMultilevel"/>
    <w:tmpl w:val="24C062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314453"/>
    <w:multiLevelType w:val="hybridMultilevel"/>
    <w:tmpl w:val="421804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A6054A"/>
    <w:multiLevelType w:val="hybridMultilevel"/>
    <w:tmpl w:val="1470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1452F9"/>
    <w:multiLevelType w:val="hybridMultilevel"/>
    <w:tmpl w:val="C324D500"/>
    <w:lvl w:ilvl="0" w:tplc="DF1CD8E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AD"/>
    <w:rsid w:val="0000143D"/>
    <w:rsid w:val="00006661"/>
    <w:rsid w:val="0001367C"/>
    <w:rsid w:val="0003634D"/>
    <w:rsid w:val="000459A6"/>
    <w:rsid w:val="00073CE8"/>
    <w:rsid w:val="00077451"/>
    <w:rsid w:val="00090F12"/>
    <w:rsid w:val="00096E4B"/>
    <w:rsid w:val="00096F68"/>
    <w:rsid w:val="000A47F4"/>
    <w:rsid w:val="000A6E18"/>
    <w:rsid w:val="000B3A5C"/>
    <w:rsid w:val="000B5862"/>
    <w:rsid w:val="000B7FF9"/>
    <w:rsid w:val="000D5B00"/>
    <w:rsid w:val="000D633D"/>
    <w:rsid w:val="000D7902"/>
    <w:rsid w:val="0012169A"/>
    <w:rsid w:val="00121827"/>
    <w:rsid w:val="001522DF"/>
    <w:rsid w:val="001534DA"/>
    <w:rsid w:val="0015434E"/>
    <w:rsid w:val="00164772"/>
    <w:rsid w:val="001651D8"/>
    <w:rsid w:val="001727E7"/>
    <w:rsid w:val="001807FC"/>
    <w:rsid w:val="00182910"/>
    <w:rsid w:val="00182DF2"/>
    <w:rsid w:val="00194A63"/>
    <w:rsid w:val="00195B59"/>
    <w:rsid w:val="001C2603"/>
    <w:rsid w:val="001D5648"/>
    <w:rsid w:val="001D6527"/>
    <w:rsid w:val="001D7A2A"/>
    <w:rsid w:val="001E53E5"/>
    <w:rsid w:val="001E5730"/>
    <w:rsid w:val="00202776"/>
    <w:rsid w:val="00211028"/>
    <w:rsid w:val="00214A11"/>
    <w:rsid w:val="002274F7"/>
    <w:rsid w:val="002323A9"/>
    <w:rsid w:val="00246E07"/>
    <w:rsid w:val="00251992"/>
    <w:rsid w:val="00254ADD"/>
    <w:rsid w:val="00255072"/>
    <w:rsid w:val="00256201"/>
    <w:rsid w:val="00262D14"/>
    <w:rsid w:val="00272F50"/>
    <w:rsid w:val="00274EC2"/>
    <w:rsid w:val="0027535A"/>
    <w:rsid w:val="00275AFE"/>
    <w:rsid w:val="00295FA1"/>
    <w:rsid w:val="002A3383"/>
    <w:rsid w:val="002A6445"/>
    <w:rsid w:val="002B15B8"/>
    <w:rsid w:val="002B1A33"/>
    <w:rsid w:val="002B25DE"/>
    <w:rsid w:val="002C7F8C"/>
    <w:rsid w:val="002D4860"/>
    <w:rsid w:val="002F0CEE"/>
    <w:rsid w:val="00304CAA"/>
    <w:rsid w:val="00310BDD"/>
    <w:rsid w:val="00316F1F"/>
    <w:rsid w:val="00335086"/>
    <w:rsid w:val="00342261"/>
    <w:rsid w:val="00351175"/>
    <w:rsid w:val="003522AD"/>
    <w:rsid w:val="00355B49"/>
    <w:rsid w:val="003622B8"/>
    <w:rsid w:val="00371A97"/>
    <w:rsid w:val="003803FA"/>
    <w:rsid w:val="0039113F"/>
    <w:rsid w:val="00392D64"/>
    <w:rsid w:val="00395F68"/>
    <w:rsid w:val="003A2140"/>
    <w:rsid w:val="003A3934"/>
    <w:rsid w:val="003C0494"/>
    <w:rsid w:val="003D5137"/>
    <w:rsid w:val="003E0BB9"/>
    <w:rsid w:val="0040178A"/>
    <w:rsid w:val="004120BA"/>
    <w:rsid w:val="004134E9"/>
    <w:rsid w:val="0043173E"/>
    <w:rsid w:val="004448EC"/>
    <w:rsid w:val="004614ED"/>
    <w:rsid w:val="0046284E"/>
    <w:rsid w:val="004655F5"/>
    <w:rsid w:val="0047006F"/>
    <w:rsid w:val="00492EF6"/>
    <w:rsid w:val="004A15BE"/>
    <w:rsid w:val="004C0714"/>
    <w:rsid w:val="004D5DCE"/>
    <w:rsid w:val="004D7A07"/>
    <w:rsid w:val="004F063A"/>
    <w:rsid w:val="004F0DDD"/>
    <w:rsid w:val="0050392D"/>
    <w:rsid w:val="00515982"/>
    <w:rsid w:val="00517FF5"/>
    <w:rsid w:val="00526119"/>
    <w:rsid w:val="005369A4"/>
    <w:rsid w:val="00545C3F"/>
    <w:rsid w:val="00552CFA"/>
    <w:rsid w:val="005532AF"/>
    <w:rsid w:val="00556730"/>
    <w:rsid w:val="005858CE"/>
    <w:rsid w:val="0058738B"/>
    <w:rsid w:val="005B7F57"/>
    <w:rsid w:val="005D5309"/>
    <w:rsid w:val="0061468C"/>
    <w:rsid w:val="00637228"/>
    <w:rsid w:val="00637DFC"/>
    <w:rsid w:val="00662BFC"/>
    <w:rsid w:val="00662CB8"/>
    <w:rsid w:val="00673AFF"/>
    <w:rsid w:val="006758A2"/>
    <w:rsid w:val="006906B9"/>
    <w:rsid w:val="006C6D6E"/>
    <w:rsid w:val="006E4572"/>
    <w:rsid w:val="006F12D6"/>
    <w:rsid w:val="006F38FE"/>
    <w:rsid w:val="0070000B"/>
    <w:rsid w:val="0070017F"/>
    <w:rsid w:val="00702D64"/>
    <w:rsid w:val="007127C9"/>
    <w:rsid w:val="007161B4"/>
    <w:rsid w:val="007170CE"/>
    <w:rsid w:val="0073491D"/>
    <w:rsid w:val="007365E6"/>
    <w:rsid w:val="00737043"/>
    <w:rsid w:val="007400CE"/>
    <w:rsid w:val="007410BB"/>
    <w:rsid w:val="0076206A"/>
    <w:rsid w:val="007814CD"/>
    <w:rsid w:val="00784D80"/>
    <w:rsid w:val="007A795D"/>
    <w:rsid w:val="007C2F7B"/>
    <w:rsid w:val="007C58BF"/>
    <w:rsid w:val="007C670C"/>
    <w:rsid w:val="007D616F"/>
    <w:rsid w:val="007F5626"/>
    <w:rsid w:val="007F7B8B"/>
    <w:rsid w:val="00800274"/>
    <w:rsid w:val="00823C50"/>
    <w:rsid w:val="00826FE7"/>
    <w:rsid w:val="00830B9D"/>
    <w:rsid w:val="00835BF2"/>
    <w:rsid w:val="008362F7"/>
    <w:rsid w:val="0084157D"/>
    <w:rsid w:val="0084293C"/>
    <w:rsid w:val="00845540"/>
    <w:rsid w:val="0084735D"/>
    <w:rsid w:val="008519ED"/>
    <w:rsid w:val="00870ABE"/>
    <w:rsid w:val="00871C19"/>
    <w:rsid w:val="00874251"/>
    <w:rsid w:val="00876039"/>
    <w:rsid w:val="00886195"/>
    <w:rsid w:val="008B5733"/>
    <w:rsid w:val="008D11AC"/>
    <w:rsid w:val="008E363F"/>
    <w:rsid w:val="008F61A2"/>
    <w:rsid w:val="0090252E"/>
    <w:rsid w:val="00902B7E"/>
    <w:rsid w:val="00907F9C"/>
    <w:rsid w:val="00915509"/>
    <w:rsid w:val="00916D22"/>
    <w:rsid w:val="009270DF"/>
    <w:rsid w:val="0093768A"/>
    <w:rsid w:val="00967273"/>
    <w:rsid w:val="009801A2"/>
    <w:rsid w:val="00987653"/>
    <w:rsid w:val="009A2262"/>
    <w:rsid w:val="009C3C97"/>
    <w:rsid w:val="009C5906"/>
    <w:rsid w:val="009D4E72"/>
    <w:rsid w:val="009E08A9"/>
    <w:rsid w:val="009E6132"/>
    <w:rsid w:val="009F2697"/>
    <w:rsid w:val="00A123BD"/>
    <w:rsid w:val="00A135CF"/>
    <w:rsid w:val="00A2247B"/>
    <w:rsid w:val="00A321CD"/>
    <w:rsid w:val="00A432C3"/>
    <w:rsid w:val="00A467BD"/>
    <w:rsid w:val="00A541D0"/>
    <w:rsid w:val="00A61193"/>
    <w:rsid w:val="00A66967"/>
    <w:rsid w:val="00AA4F4E"/>
    <w:rsid w:val="00AC1F36"/>
    <w:rsid w:val="00AD1E5F"/>
    <w:rsid w:val="00AD41D8"/>
    <w:rsid w:val="00AE7702"/>
    <w:rsid w:val="00AF18CF"/>
    <w:rsid w:val="00B05E3C"/>
    <w:rsid w:val="00B16D68"/>
    <w:rsid w:val="00B170EF"/>
    <w:rsid w:val="00B20D88"/>
    <w:rsid w:val="00B21183"/>
    <w:rsid w:val="00B214A1"/>
    <w:rsid w:val="00B26F7F"/>
    <w:rsid w:val="00B31987"/>
    <w:rsid w:val="00B34D1C"/>
    <w:rsid w:val="00B368E9"/>
    <w:rsid w:val="00B4234C"/>
    <w:rsid w:val="00B42849"/>
    <w:rsid w:val="00B530BF"/>
    <w:rsid w:val="00B60BDC"/>
    <w:rsid w:val="00B634C8"/>
    <w:rsid w:val="00B64313"/>
    <w:rsid w:val="00B701E1"/>
    <w:rsid w:val="00B77A37"/>
    <w:rsid w:val="00BA7CBB"/>
    <w:rsid w:val="00BB501F"/>
    <w:rsid w:val="00BB5200"/>
    <w:rsid w:val="00BB59C4"/>
    <w:rsid w:val="00BC53C7"/>
    <w:rsid w:val="00BC78CB"/>
    <w:rsid w:val="00BE6AB4"/>
    <w:rsid w:val="00BF6DE9"/>
    <w:rsid w:val="00C00A21"/>
    <w:rsid w:val="00C30EA4"/>
    <w:rsid w:val="00C332D4"/>
    <w:rsid w:val="00C3586E"/>
    <w:rsid w:val="00C37013"/>
    <w:rsid w:val="00C457A6"/>
    <w:rsid w:val="00C459F0"/>
    <w:rsid w:val="00C4743A"/>
    <w:rsid w:val="00C5371B"/>
    <w:rsid w:val="00C74384"/>
    <w:rsid w:val="00C81F3D"/>
    <w:rsid w:val="00CB019A"/>
    <w:rsid w:val="00CB035D"/>
    <w:rsid w:val="00CB2005"/>
    <w:rsid w:val="00CC1A34"/>
    <w:rsid w:val="00CC1C5C"/>
    <w:rsid w:val="00CD2684"/>
    <w:rsid w:val="00CD4440"/>
    <w:rsid w:val="00CF2388"/>
    <w:rsid w:val="00CF3864"/>
    <w:rsid w:val="00D0429F"/>
    <w:rsid w:val="00D06F40"/>
    <w:rsid w:val="00D07E55"/>
    <w:rsid w:val="00D21983"/>
    <w:rsid w:val="00D244DC"/>
    <w:rsid w:val="00D50D69"/>
    <w:rsid w:val="00D51C2F"/>
    <w:rsid w:val="00D54555"/>
    <w:rsid w:val="00D56A19"/>
    <w:rsid w:val="00D67BBC"/>
    <w:rsid w:val="00D719DE"/>
    <w:rsid w:val="00D7295D"/>
    <w:rsid w:val="00D74069"/>
    <w:rsid w:val="00D821CC"/>
    <w:rsid w:val="00DA39A8"/>
    <w:rsid w:val="00DB0848"/>
    <w:rsid w:val="00DC1363"/>
    <w:rsid w:val="00DC5143"/>
    <w:rsid w:val="00DC700C"/>
    <w:rsid w:val="00DF4BE7"/>
    <w:rsid w:val="00E17478"/>
    <w:rsid w:val="00E2216D"/>
    <w:rsid w:val="00E24539"/>
    <w:rsid w:val="00E358A9"/>
    <w:rsid w:val="00E41A00"/>
    <w:rsid w:val="00E566FA"/>
    <w:rsid w:val="00E6068A"/>
    <w:rsid w:val="00E837D4"/>
    <w:rsid w:val="00E90C17"/>
    <w:rsid w:val="00E94AA2"/>
    <w:rsid w:val="00EA0D92"/>
    <w:rsid w:val="00EA36ED"/>
    <w:rsid w:val="00EA45D3"/>
    <w:rsid w:val="00EB0CCF"/>
    <w:rsid w:val="00EB139E"/>
    <w:rsid w:val="00EC448C"/>
    <w:rsid w:val="00ED03FD"/>
    <w:rsid w:val="00EE3294"/>
    <w:rsid w:val="00EE4B13"/>
    <w:rsid w:val="00EE4FDB"/>
    <w:rsid w:val="00EF4A36"/>
    <w:rsid w:val="00EF7BAE"/>
    <w:rsid w:val="00F0490D"/>
    <w:rsid w:val="00F059B2"/>
    <w:rsid w:val="00F26CAD"/>
    <w:rsid w:val="00F37FB7"/>
    <w:rsid w:val="00F4073B"/>
    <w:rsid w:val="00F45973"/>
    <w:rsid w:val="00F46D94"/>
    <w:rsid w:val="00F63546"/>
    <w:rsid w:val="00F671CB"/>
    <w:rsid w:val="00F75149"/>
    <w:rsid w:val="00F76F55"/>
    <w:rsid w:val="00F77F03"/>
    <w:rsid w:val="00F85591"/>
    <w:rsid w:val="00F90658"/>
    <w:rsid w:val="00F9297C"/>
    <w:rsid w:val="00FA045D"/>
    <w:rsid w:val="00FA76A7"/>
    <w:rsid w:val="00FC0309"/>
    <w:rsid w:val="00FC22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02DCB"/>
  <w15:chartTrackingRefBased/>
  <w15:docId w15:val="{E4444E8A-6859-4866-AB06-53F0F5FE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AD"/>
    <w:pPr>
      <w:ind w:left="720"/>
      <w:contextualSpacing/>
    </w:pPr>
  </w:style>
  <w:style w:type="table" w:styleId="TableGrid">
    <w:name w:val="Table Grid"/>
    <w:basedOn w:val="TableNormal"/>
    <w:uiPriority w:val="39"/>
    <w:rsid w:val="00F2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6CAD"/>
    <w:pPr>
      <w:spacing w:after="0" w:line="240" w:lineRule="auto"/>
    </w:pPr>
  </w:style>
  <w:style w:type="character" w:styleId="Hyperlink">
    <w:name w:val="Hyperlink"/>
    <w:basedOn w:val="DefaultParagraphFont"/>
    <w:uiPriority w:val="99"/>
    <w:unhideWhenUsed/>
    <w:rsid w:val="00F26CAD"/>
    <w:rPr>
      <w:color w:val="0563C1" w:themeColor="hyperlink"/>
      <w:u w:val="single"/>
    </w:rPr>
  </w:style>
  <w:style w:type="character" w:customStyle="1" w:styleId="termtext">
    <w:name w:val="termtext"/>
    <w:basedOn w:val="DefaultParagraphFont"/>
    <w:rsid w:val="00515982"/>
  </w:style>
  <w:style w:type="character" w:styleId="Emphasis">
    <w:name w:val="Emphasis"/>
    <w:basedOn w:val="DefaultParagraphFont"/>
    <w:uiPriority w:val="20"/>
    <w:qFormat/>
    <w:rsid w:val="00121827"/>
    <w:rPr>
      <w:i/>
      <w:iCs/>
    </w:rPr>
  </w:style>
  <w:style w:type="paragraph" w:styleId="Header">
    <w:name w:val="header"/>
    <w:basedOn w:val="Normal"/>
    <w:link w:val="HeaderChar"/>
    <w:uiPriority w:val="99"/>
    <w:unhideWhenUsed/>
    <w:rsid w:val="005858CE"/>
    <w:pPr>
      <w:tabs>
        <w:tab w:val="center" w:pos="4513"/>
        <w:tab w:val="right" w:pos="9026"/>
      </w:tabs>
    </w:pPr>
  </w:style>
  <w:style w:type="character" w:customStyle="1" w:styleId="HeaderChar">
    <w:name w:val="Header Char"/>
    <w:basedOn w:val="DefaultParagraphFont"/>
    <w:link w:val="Header"/>
    <w:uiPriority w:val="99"/>
    <w:rsid w:val="005858C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858CE"/>
    <w:pPr>
      <w:tabs>
        <w:tab w:val="center" w:pos="4513"/>
        <w:tab w:val="right" w:pos="9026"/>
      </w:tabs>
    </w:pPr>
  </w:style>
  <w:style w:type="character" w:customStyle="1" w:styleId="FooterChar">
    <w:name w:val="Footer Char"/>
    <w:basedOn w:val="DefaultParagraphFont"/>
    <w:link w:val="Footer"/>
    <w:uiPriority w:val="99"/>
    <w:rsid w:val="005858C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4316">
      <w:bodyDiv w:val="1"/>
      <w:marLeft w:val="0"/>
      <w:marRight w:val="0"/>
      <w:marTop w:val="0"/>
      <w:marBottom w:val="0"/>
      <w:divBdr>
        <w:top w:val="none" w:sz="0" w:space="0" w:color="auto"/>
        <w:left w:val="none" w:sz="0" w:space="0" w:color="auto"/>
        <w:bottom w:val="none" w:sz="0" w:space="0" w:color="auto"/>
        <w:right w:val="none" w:sz="0" w:space="0" w:color="auto"/>
      </w:divBdr>
    </w:div>
    <w:div w:id="1066875103">
      <w:bodyDiv w:val="1"/>
      <w:marLeft w:val="0"/>
      <w:marRight w:val="0"/>
      <w:marTop w:val="0"/>
      <w:marBottom w:val="0"/>
      <w:divBdr>
        <w:top w:val="none" w:sz="0" w:space="0" w:color="auto"/>
        <w:left w:val="none" w:sz="0" w:space="0" w:color="auto"/>
        <w:bottom w:val="none" w:sz="0" w:space="0" w:color="auto"/>
        <w:right w:val="none" w:sz="0" w:space="0" w:color="auto"/>
      </w:divBdr>
    </w:div>
    <w:div w:id="1826579832">
      <w:bodyDiv w:val="1"/>
      <w:marLeft w:val="0"/>
      <w:marRight w:val="0"/>
      <w:marTop w:val="0"/>
      <w:marBottom w:val="0"/>
      <w:divBdr>
        <w:top w:val="none" w:sz="0" w:space="0" w:color="auto"/>
        <w:left w:val="none" w:sz="0" w:space="0" w:color="auto"/>
        <w:bottom w:val="none" w:sz="0" w:space="0" w:color="auto"/>
        <w:right w:val="none" w:sz="0" w:space="0" w:color="auto"/>
      </w:divBdr>
    </w:div>
    <w:div w:id="18692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red.be/sites/default/files/ADSR_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18\SACs\Unit%204%202018\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b\Documents\HHD%20network\2018\SACs\Unit%204%202018\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b\Documents\HHD%20network\2018\SACs\Unit%204%202018\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Proportion of those with access to adeqaute sanitation (%)</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Sheet1!$B$39</c:f>
              <c:strCache>
                <c:ptCount val="1"/>
                <c:pt idx="0">
                  <c:v>Australia</c:v>
                </c:pt>
              </c:strCache>
            </c:strRef>
          </c:tx>
          <c:spPr>
            <a:ln w="28575" cap="rnd">
              <a:solidFill>
                <a:schemeClr val="tx1"/>
              </a:solidFill>
              <a:round/>
            </a:ln>
            <a:effectLst/>
          </c:spPr>
          <c:marker>
            <c:symbol val="none"/>
          </c:marker>
          <c:cat>
            <c:numRef>
              <c:f>Sheet1!$C$38:$L$38</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Sheet1!$C$39:$L$39</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mooth val="0"/>
          <c:extLst>
            <c:ext xmlns:c16="http://schemas.microsoft.com/office/drawing/2014/chart" uri="{C3380CC4-5D6E-409C-BE32-E72D297353CC}">
              <c16:uniqueId val="{00000000-8441-4784-AC8D-57386C61AC00}"/>
            </c:ext>
          </c:extLst>
        </c:ser>
        <c:ser>
          <c:idx val="1"/>
          <c:order val="1"/>
          <c:tx>
            <c:strRef>
              <c:f>Sheet1!$B$40</c:f>
              <c:strCache>
                <c:ptCount val="1"/>
                <c:pt idx="0">
                  <c:v>Middle-income</c:v>
                </c:pt>
              </c:strCache>
            </c:strRef>
          </c:tx>
          <c:spPr>
            <a:ln w="28575" cap="rnd">
              <a:solidFill>
                <a:schemeClr val="tx1"/>
              </a:solidFill>
              <a:prstDash val="sysDash"/>
              <a:round/>
            </a:ln>
            <a:effectLst/>
          </c:spPr>
          <c:marker>
            <c:symbol val="none"/>
          </c:marker>
          <c:cat>
            <c:numRef>
              <c:f>Sheet1!$C$38:$L$38</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Sheet1!$C$40:$L$40</c:f>
              <c:numCache>
                <c:formatCode>General</c:formatCode>
                <c:ptCount val="10"/>
                <c:pt idx="0">
                  <c:v>58.310312000728423</c:v>
                </c:pt>
                <c:pt idx="1">
                  <c:v>59.216390121869267</c:v>
                </c:pt>
                <c:pt idx="2">
                  <c:v>60.122830773204527</c:v>
                </c:pt>
                <c:pt idx="3">
                  <c:v>61.031840656758114</c:v>
                </c:pt>
                <c:pt idx="4">
                  <c:v>61.941043907453775</c:v>
                </c:pt>
                <c:pt idx="5">
                  <c:v>62.848399721339788</c:v>
                </c:pt>
                <c:pt idx="6">
                  <c:v>63.752407963971159</c:v>
                </c:pt>
                <c:pt idx="7">
                  <c:v>64.653284058565248</c:v>
                </c:pt>
                <c:pt idx="8">
                  <c:v>65.539962885186668</c:v>
                </c:pt>
                <c:pt idx="9">
                  <c:v>66.408610124697418</c:v>
                </c:pt>
              </c:numCache>
            </c:numRef>
          </c:val>
          <c:smooth val="0"/>
          <c:extLst>
            <c:ext xmlns:c16="http://schemas.microsoft.com/office/drawing/2014/chart" uri="{C3380CC4-5D6E-409C-BE32-E72D297353CC}">
              <c16:uniqueId val="{00000001-8441-4784-AC8D-57386C61AC00}"/>
            </c:ext>
          </c:extLst>
        </c:ser>
        <c:ser>
          <c:idx val="2"/>
          <c:order val="2"/>
          <c:tx>
            <c:strRef>
              <c:f>Sheet1!$B$41</c:f>
              <c:strCache>
                <c:ptCount val="1"/>
                <c:pt idx="0">
                  <c:v>Low-income</c:v>
                </c:pt>
              </c:strCache>
            </c:strRef>
          </c:tx>
          <c:spPr>
            <a:ln w="28575" cap="rnd">
              <a:solidFill>
                <a:schemeClr val="bg1">
                  <a:lumMod val="65000"/>
                </a:schemeClr>
              </a:solidFill>
              <a:round/>
            </a:ln>
            <a:effectLst/>
          </c:spPr>
          <c:marker>
            <c:symbol val="none"/>
          </c:marker>
          <c:cat>
            <c:numRef>
              <c:f>Sheet1!$C$38:$L$38</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Sheet1!$C$41:$L$41</c:f>
              <c:numCache>
                <c:formatCode>General</c:formatCode>
                <c:ptCount val="10"/>
                <c:pt idx="0">
                  <c:v>21.597169082365792</c:v>
                </c:pt>
                <c:pt idx="1">
                  <c:v>22.008986151961761</c:v>
                </c:pt>
                <c:pt idx="2">
                  <c:v>22.425761188904815</c:v>
                </c:pt>
                <c:pt idx="3">
                  <c:v>22.844391064226251</c:v>
                </c:pt>
                <c:pt idx="4">
                  <c:v>23.265792976644271</c:v>
                </c:pt>
                <c:pt idx="5">
                  <c:v>23.387580803148985</c:v>
                </c:pt>
                <c:pt idx="6">
                  <c:v>23.820560621728735</c:v>
                </c:pt>
                <c:pt idx="7">
                  <c:v>24.249545507057015</c:v>
                </c:pt>
                <c:pt idx="8">
                  <c:v>24.680789193760223</c:v>
                </c:pt>
                <c:pt idx="9">
                  <c:v>25.090532879302344</c:v>
                </c:pt>
              </c:numCache>
            </c:numRef>
          </c:val>
          <c:smooth val="0"/>
          <c:extLst>
            <c:ext xmlns:c16="http://schemas.microsoft.com/office/drawing/2014/chart" uri="{C3380CC4-5D6E-409C-BE32-E72D297353CC}">
              <c16:uniqueId val="{00000002-8441-4784-AC8D-57386C61AC00}"/>
            </c:ext>
          </c:extLst>
        </c:ser>
        <c:dLbls>
          <c:showLegendKey val="0"/>
          <c:showVal val="0"/>
          <c:showCatName val="0"/>
          <c:showSerName val="0"/>
          <c:showPercent val="0"/>
          <c:showBubbleSize val="0"/>
        </c:dLbls>
        <c:smooth val="0"/>
        <c:axId val="593748176"/>
        <c:axId val="593748504"/>
      </c:lineChart>
      <c:catAx>
        <c:axId val="5937481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3748504"/>
        <c:crosses val="autoZero"/>
        <c:auto val="1"/>
        <c:lblAlgn val="ctr"/>
        <c:lblOffset val="100"/>
        <c:noMultiLvlLbl val="0"/>
      </c:catAx>
      <c:valAx>
        <c:axId val="59374850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374817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Proportion of those with access to safe water (%)</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Sheet1!$B$34</c:f>
              <c:strCache>
                <c:ptCount val="1"/>
                <c:pt idx="0">
                  <c:v>Australia</c:v>
                </c:pt>
              </c:strCache>
            </c:strRef>
          </c:tx>
          <c:spPr>
            <a:ln w="28575" cap="rnd">
              <a:solidFill>
                <a:schemeClr val="tx1"/>
              </a:solidFill>
              <a:round/>
            </a:ln>
            <a:effectLst/>
          </c:spPr>
          <c:marker>
            <c:symbol val="none"/>
          </c:marker>
          <c:cat>
            <c:numRef>
              <c:f>Sheet1!$C$33:$L$33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Sheet1!$C$34:$L$34</c:f>
              <c:numCache>
                <c:formatCode>General</c:formatCode>
                <c:ptCount val="10"/>
                <c:pt idx="0">
                  <c:v>99.816737500000002</c:v>
                </c:pt>
                <c:pt idx="1">
                  <c:v>99.835851599999998</c:v>
                </c:pt>
                <c:pt idx="2">
                  <c:v>99.8547500833333</c:v>
                </c:pt>
                <c:pt idx="3">
                  <c:v>99.873432333333298</c:v>
                </c:pt>
                <c:pt idx="4">
                  <c:v>99.891902650000006</c:v>
                </c:pt>
                <c:pt idx="5">
                  <c:v>99.910166666666697</c:v>
                </c:pt>
                <c:pt idx="6">
                  <c:v>99.928225916666705</c:v>
                </c:pt>
                <c:pt idx="7">
                  <c:v>99.9460847</c:v>
                </c:pt>
                <c:pt idx="8">
                  <c:v>99.959819949999996</c:v>
                </c:pt>
                <c:pt idx="9">
                  <c:v>99.968701949999996</c:v>
                </c:pt>
              </c:numCache>
            </c:numRef>
          </c:val>
          <c:smooth val="0"/>
          <c:extLst>
            <c:ext xmlns:c16="http://schemas.microsoft.com/office/drawing/2014/chart" uri="{C3380CC4-5D6E-409C-BE32-E72D297353CC}">
              <c16:uniqueId val="{00000000-3EF7-4526-9AC7-A3FD07302BD1}"/>
            </c:ext>
          </c:extLst>
        </c:ser>
        <c:ser>
          <c:idx val="1"/>
          <c:order val="1"/>
          <c:tx>
            <c:strRef>
              <c:f>Sheet1!$B$35</c:f>
              <c:strCache>
                <c:ptCount val="1"/>
                <c:pt idx="0">
                  <c:v>Middle income</c:v>
                </c:pt>
              </c:strCache>
            </c:strRef>
          </c:tx>
          <c:spPr>
            <a:ln w="28575" cap="rnd">
              <a:solidFill>
                <a:schemeClr val="tx1"/>
              </a:solidFill>
              <a:prstDash val="sysDash"/>
              <a:round/>
            </a:ln>
            <a:effectLst/>
          </c:spPr>
          <c:marker>
            <c:symbol val="none"/>
          </c:marker>
          <c:cat>
            <c:numRef>
              <c:f>Sheet1!$C$33:$L$33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Sheet1!$C$35:$L$35</c:f>
              <c:numCache>
                <c:formatCode>General</c:formatCode>
                <c:ptCount val="10"/>
                <c:pt idx="0">
                  <c:v>84.781824927083562</c:v>
                </c:pt>
                <c:pt idx="1">
                  <c:v>85.465191763828514</c:v>
                </c:pt>
                <c:pt idx="2">
                  <c:v>86.127519658814137</c:v>
                </c:pt>
                <c:pt idx="3">
                  <c:v>86.765685109219476</c:v>
                </c:pt>
                <c:pt idx="4">
                  <c:v>87.393541254309483</c:v>
                </c:pt>
                <c:pt idx="5">
                  <c:v>87.987453967793542</c:v>
                </c:pt>
                <c:pt idx="6">
                  <c:v>88.559976821266574</c:v>
                </c:pt>
                <c:pt idx="7">
                  <c:v>89.10012066646344</c:v>
                </c:pt>
                <c:pt idx="8">
                  <c:v>89.6397336883431</c:v>
                </c:pt>
                <c:pt idx="9">
                  <c:v>90.163711545741961</c:v>
                </c:pt>
              </c:numCache>
            </c:numRef>
          </c:val>
          <c:smooth val="0"/>
          <c:extLst>
            <c:ext xmlns:c16="http://schemas.microsoft.com/office/drawing/2014/chart" uri="{C3380CC4-5D6E-409C-BE32-E72D297353CC}">
              <c16:uniqueId val="{00000001-3EF7-4526-9AC7-A3FD07302BD1}"/>
            </c:ext>
          </c:extLst>
        </c:ser>
        <c:ser>
          <c:idx val="2"/>
          <c:order val="2"/>
          <c:tx>
            <c:strRef>
              <c:f>Sheet1!$B$36</c:f>
              <c:strCache>
                <c:ptCount val="1"/>
                <c:pt idx="0">
                  <c:v>Low income</c:v>
                </c:pt>
              </c:strCache>
            </c:strRef>
          </c:tx>
          <c:spPr>
            <a:ln w="28575" cap="rnd">
              <a:solidFill>
                <a:schemeClr val="bg1">
                  <a:lumMod val="65000"/>
                </a:schemeClr>
              </a:solidFill>
              <a:round/>
            </a:ln>
            <a:effectLst/>
          </c:spPr>
          <c:marker>
            <c:symbol val="none"/>
          </c:marker>
          <c:cat>
            <c:numRef>
              <c:f>Sheet1!$C$33:$L$33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Sheet1!$C$36:$L$36</c:f>
              <c:numCache>
                <c:formatCode>General</c:formatCode>
                <c:ptCount val="10"/>
                <c:pt idx="0">
                  <c:v>46.335521507666606</c:v>
                </c:pt>
                <c:pt idx="1">
                  <c:v>47.167343243231102</c:v>
                </c:pt>
                <c:pt idx="2">
                  <c:v>48.019744402564775</c:v>
                </c:pt>
                <c:pt idx="3">
                  <c:v>48.8757054035095</c:v>
                </c:pt>
                <c:pt idx="4">
                  <c:v>49.735834790893584</c:v>
                </c:pt>
                <c:pt idx="5">
                  <c:v>50.457903392141112</c:v>
                </c:pt>
                <c:pt idx="6">
                  <c:v>51.346911709035837</c:v>
                </c:pt>
                <c:pt idx="7">
                  <c:v>52.240255572455496</c:v>
                </c:pt>
                <c:pt idx="8">
                  <c:v>53.137498450315313</c:v>
                </c:pt>
                <c:pt idx="9">
                  <c:v>54.037828478786899</c:v>
                </c:pt>
              </c:numCache>
            </c:numRef>
          </c:val>
          <c:smooth val="0"/>
          <c:extLst>
            <c:ext xmlns:c16="http://schemas.microsoft.com/office/drawing/2014/chart" uri="{C3380CC4-5D6E-409C-BE32-E72D297353CC}">
              <c16:uniqueId val="{00000002-3EF7-4526-9AC7-A3FD07302BD1}"/>
            </c:ext>
          </c:extLst>
        </c:ser>
        <c:dLbls>
          <c:showLegendKey val="0"/>
          <c:showVal val="0"/>
          <c:showCatName val="0"/>
          <c:showSerName val="0"/>
          <c:showPercent val="0"/>
          <c:showBubbleSize val="0"/>
        </c:dLbls>
        <c:smooth val="0"/>
        <c:axId val="673558456"/>
        <c:axId val="673558784"/>
      </c:lineChart>
      <c:catAx>
        <c:axId val="6735584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73558784"/>
        <c:crosses val="autoZero"/>
        <c:auto val="1"/>
        <c:lblAlgn val="ctr"/>
        <c:lblOffset val="100"/>
        <c:noMultiLvlLbl val="0"/>
      </c:catAx>
      <c:valAx>
        <c:axId val="67355878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73558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Sheet1!$B$100</c:f>
              <c:strCache>
                <c:ptCount val="1"/>
                <c:pt idx="0">
                  <c:v>Climatological (left axis)</c:v>
                </c:pt>
              </c:strCache>
            </c:strRef>
          </c:tx>
          <c:spPr>
            <a:solidFill>
              <a:schemeClr val="tx1"/>
            </a:solidFill>
            <a:ln>
              <a:solidFill>
                <a:schemeClr val="tx1"/>
              </a:solidFill>
            </a:ln>
            <a:effectLst/>
          </c:spPr>
          <c:invertIfNegative val="0"/>
          <c:cat>
            <c:strRef>
              <c:f>Sheet1!$C$99:$D$99</c:f>
              <c:strCache>
                <c:ptCount val="2"/>
                <c:pt idx="0">
                  <c:v>India </c:v>
                </c:pt>
                <c:pt idx="1">
                  <c:v>USA</c:v>
                </c:pt>
              </c:strCache>
            </c:strRef>
          </c:cat>
          <c:val>
            <c:numRef>
              <c:f>Sheet1!$C$100:$D$100</c:f>
              <c:numCache>
                <c:formatCode>General</c:formatCode>
                <c:ptCount val="2"/>
                <c:pt idx="0">
                  <c:v>2</c:v>
                </c:pt>
                <c:pt idx="1">
                  <c:v>4</c:v>
                </c:pt>
              </c:numCache>
            </c:numRef>
          </c:val>
          <c:extLst>
            <c:ext xmlns:c16="http://schemas.microsoft.com/office/drawing/2014/chart" uri="{C3380CC4-5D6E-409C-BE32-E72D297353CC}">
              <c16:uniqueId val="{00000000-A293-49BC-8635-6C2D7B357DDF}"/>
            </c:ext>
          </c:extLst>
        </c:ser>
        <c:ser>
          <c:idx val="2"/>
          <c:order val="2"/>
          <c:tx>
            <c:strRef>
              <c:f>Sheet1!$B$101</c:f>
              <c:strCache>
                <c:ptCount val="1"/>
                <c:pt idx="0">
                  <c:v>Hydrological (left axis)</c:v>
                </c:pt>
              </c:strCache>
            </c:strRef>
          </c:tx>
          <c:spPr>
            <a:solidFill>
              <a:schemeClr val="bg1">
                <a:lumMod val="85000"/>
              </a:schemeClr>
            </a:solidFill>
            <a:ln>
              <a:solidFill>
                <a:schemeClr val="bg1">
                  <a:lumMod val="85000"/>
                </a:schemeClr>
              </a:solidFill>
            </a:ln>
            <a:effectLst/>
          </c:spPr>
          <c:invertIfNegative val="0"/>
          <c:cat>
            <c:strRef>
              <c:f>Sheet1!$C$99:$D$99</c:f>
              <c:strCache>
                <c:ptCount val="2"/>
                <c:pt idx="0">
                  <c:v>India </c:v>
                </c:pt>
                <c:pt idx="1">
                  <c:v>USA</c:v>
                </c:pt>
              </c:strCache>
            </c:strRef>
          </c:cat>
          <c:val>
            <c:numRef>
              <c:f>Sheet1!$C$101:$D$101</c:f>
              <c:numCache>
                <c:formatCode>General</c:formatCode>
                <c:ptCount val="2"/>
                <c:pt idx="0">
                  <c:v>10</c:v>
                </c:pt>
                <c:pt idx="1">
                  <c:v>7</c:v>
                </c:pt>
              </c:numCache>
            </c:numRef>
          </c:val>
          <c:extLst>
            <c:ext xmlns:c16="http://schemas.microsoft.com/office/drawing/2014/chart" uri="{C3380CC4-5D6E-409C-BE32-E72D297353CC}">
              <c16:uniqueId val="{00000001-A293-49BC-8635-6C2D7B357DDF}"/>
            </c:ext>
          </c:extLst>
        </c:ser>
        <c:ser>
          <c:idx val="3"/>
          <c:order val="3"/>
          <c:tx>
            <c:strRef>
              <c:f>Sheet1!$B$102</c:f>
              <c:strCache>
                <c:ptCount val="1"/>
                <c:pt idx="0">
                  <c:v>Meteorological (left axis)</c:v>
                </c:pt>
              </c:strCache>
            </c:strRef>
          </c:tx>
          <c:spPr>
            <a:pattFill prst="pct30">
              <a:fgClr>
                <a:schemeClr val="tx1"/>
              </a:fgClr>
              <a:bgClr>
                <a:schemeClr val="bg1"/>
              </a:bgClr>
            </a:pattFill>
            <a:ln>
              <a:solidFill>
                <a:schemeClr val="tx1"/>
              </a:solidFill>
            </a:ln>
            <a:effectLst/>
          </c:spPr>
          <c:invertIfNegative val="0"/>
          <c:cat>
            <c:strRef>
              <c:f>Sheet1!$C$99:$D$99</c:f>
              <c:strCache>
                <c:ptCount val="2"/>
                <c:pt idx="0">
                  <c:v>India </c:v>
                </c:pt>
                <c:pt idx="1">
                  <c:v>USA</c:v>
                </c:pt>
              </c:strCache>
            </c:strRef>
          </c:cat>
          <c:val>
            <c:numRef>
              <c:f>Sheet1!$C$102:$D$102</c:f>
              <c:numCache>
                <c:formatCode>General</c:formatCode>
                <c:ptCount val="2"/>
                <c:pt idx="0">
                  <c:v>4</c:v>
                </c:pt>
                <c:pt idx="1">
                  <c:v>14</c:v>
                </c:pt>
              </c:numCache>
            </c:numRef>
          </c:val>
          <c:extLst>
            <c:ext xmlns:c16="http://schemas.microsoft.com/office/drawing/2014/chart" uri="{C3380CC4-5D6E-409C-BE32-E72D297353CC}">
              <c16:uniqueId val="{00000002-A293-49BC-8635-6C2D7B357DDF}"/>
            </c:ext>
          </c:extLst>
        </c:ser>
        <c:dLbls>
          <c:showLegendKey val="0"/>
          <c:showVal val="0"/>
          <c:showCatName val="0"/>
          <c:showSerName val="0"/>
          <c:showPercent val="0"/>
          <c:showBubbleSize val="0"/>
        </c:dLbls>
        <c:gapWidth val="150"/>
        <c:overlap val="100"/>
        <c:axId val="583142848"/>
        <c:axId val="583138584"/>
        <c:extLst>
          <c:ext xmlns:c15="http://schemas.microsoft.com/office/drawing/2012/chart" uri="{02D57815-91ED-43cb-92C2-25804820EDAC}">
            <c15:filteredBarSeries>
              <c15:ser>
                <c:idx val="1"/>
                <c:order val="1"/>
                <c:tx>
                  <c:strRef>
                    <c:extLst>
                      <c:ext uri="{02D57815-91ED-43cb-92C2-25804820EDAC}">
                        <c15:formulaRef>
                          <c15:sqref>Sheet1!$B$111</c15:sqref>
                        </c15:formulaRef>
                      </c:ext>
                    </c:extLst>
                    <c:strCache>
                      <c:ptCount val="1"/>
                      <c:pt idx="0">
                        <c:v>Geophysical (left axis)</c:v>
                      </c:pt>
                    </c:strCache>
                  </c:strRef>
                </c:tx>
                <c:spPr>
                  <a:solidFill>
                    <a:schemeClr val="bg1">
                      <a:lumMod val="65000"/>
                    </a:schemeClr>
                  </a:solidFill>
                  <a:ln>
                    <a:solidFill>
                      <a:schemeClr val="bg1">
                        <a:lumMod val="65000"/>
                      </a:schemeClr>
                    </a:solidFill>
                  </a:ln>
                  <a:effectLst/>
                </c:spPr>
                <c:invertIfNegative val="0"/>
                <c:cat>
                  <c:strRef>
                    <c:extLst>
                      <c:ext uri="{02D57815-91ED-43cb-92C2-25804820EDAC}">
                        <c15:formulaRef>
                          <c15:sqref>Sheet1!$C$99:$D$99</c15:sqref>
                        </c15:formulaRef>
                      </c:ext>
                    </c:extLst>
                    <c:strCache>
                      <c:ptCount val="2"/>
                      <c:pt idx="0">
                        <c:v>India </c:v>
                      </c:pt>
                      <c:pt idx="1">
                        <c:v>USA</c:v>
                      </c:pt>
                    </c:strCache>
                  </c:strRef>
                </c:cat>
                <c:val>
                  <c:numRef>
                    <c:extLst>
                      <c:ext uri="{02D57815-91ED-43cb-92C2-25804820EDAC}">
                        <c15:formulaRef>
                          <c15:sqref>Sheet1!$C$111:$D$111</c15:sqref>
                        </c15:formulaRef>
                      </c:ext>
                    </c:extLst>
                    <c:numCache>
                      <c:formatCode>General</c:formatCode>
                      <c:ptCount val="2"/>
                      <c:pt idx="0">
                        <c:v>1</c:v>
                      </c:pt>
                      <c:pt idx="1">
                        <c:v>1</c:v>
                      </c:pt>
                    </c:numCache>
                  </c:numRef>
                </c:val>
                <c:extLst>
                  <c:ext xmlns:c16="http://schemas.microsoft.com/office/drawing/2014/chart" uri="{C3380CC4-5D6E-409C-BE32-E72D297353CC}">
                    <c16:uniqueId val="{00000004-A293-49BC-8635-6C2D7B357DDF}"/>
                  </c:ext>
                </c:extLst>
              </c15:ser>
            </c15:filteredBarSeries>
          </c:ext>
        </c:extLst>
      </c:barChart>
      <c:lineChart>
        <c:grouping val="stacked"/>
        <c:varyColors val="0"/>
        <c:ser>
          <c:idx val="4"/>
          <c:order val="4"/>
          <c:tx>
            <c:strRef>
              <c:f>Sheet1!$B$103</c:f>
              <c:strCache>
                <c:ptCount val="1"/>
                <c:pt idx="0">
                  <c:v>Deaths from natural disasters (right axis)</c:v>
                </c:pt>
              </c:strCache>
            </c:strRef>
          </c:tx>
          <c:spPr>
            <a:ln w="28575" cap="rnd">
              <a:solidFill>
                <a:schemeClr val="tx1"/>
              </a:solidFill>
              <a:round/>
            </a:ln>
            <a:effectLst/>
          </c:spPr>
          <c:marker>
            <c:symbol val="none"/>
          </c:marker>
          <c:cat>
            <c:strRef>
              <c:f>Sheet1!$C$99:$D$99</c:f>
              <c:strCache>
                <c:ptCount val="2"/>
                <c:pt idx="0">
                  <c:v>India </c:v>
                </c:pt>
                <c:pt idx="1">
                  <c:v>USA</c:v>
                </c:pt>
              </c:strCache>
            </c:strRef>
          </c:cat>
          <c:val>
            <c:numRef>
              <c:f>Sheet1!$C$103:$D$103</c:f>
              <c:numCache>
                <c:formatCode>General</c:formatCode>
                <c:ptCount val="2"/>
                <c:pt idx="0">
                  <c:v>1142</c:v>
                </c:pt>
                <c:pt idx="1">
                  <c:v>255</c:v>
                </c:pt>
              </c:numCache>
            </c:numRef>
          </c:val>
          <c:smooth val="0"/>
          <c:extLst>
            <c:ext xmlns:c16="http://schemas.microsoft.com/office/drawing/2014/chart" uri="{C3380CC4-5D6E-409C-BE32-E72D297353CC}">
              <c16:uniqueId val="{00000003-A293-49BC-8635-6C2D7B357DDF}"/>
            </c:ext>
          </c:extLst>
        </c:ser>
        <c:dLbls>
          <c:showLegendKey val="0"/>
          <c:showVal val="0"/>
          <c:showCatName val="0"/>
          <c:showSerName val="0"/>
          <c:showPercent val="0"/>
          <c:showBubbleSize val="0"/>
        </c:dLbls>
        <c:marker val="1"/>
        <c:smooth val="0"/>
        <c:axId val="578203976"/>
        <c:axId val="578203320"/>
      </c:lineChart>
      <c:catAx>
        <c:axId val="5831428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solidFill>
                      <a:sysClr val="windowText" lastClr="000000"/>
                    </a:solidFill>
                    <a:latin typeface="Times New Roman" panose="02020603050405020304" pitchFamily="18" charset="0"/>
                    <a:cs typeface="Times New Roman" panose="02020603050405020304" pitchFamily="18" charset="0"/>
                  </a:rPr>
                  <a:t>Country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3138584"/>
        <c:crosses val="autoZero"/>
        <c:auto val="1"/>
        <c:lblAlgn val="ctr"/>
        <c:lblOffset val="100"/>
        <c:noMultiLvlLbl val="0"/>
      </c:catAx>
      <c:valAx>
        <c:axId val="5831385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Number of events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3142848"/>
        <c:crosses val="autoZero"/>
        <c:crossBetween val="between"/>
      </c:valAx>
      <c:valAx>
        <c:axId val="578203320"/>
        <c:scaling>
          <c:orientation val="minMax"/>
          <c:max val="1500"/>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deaths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78203976"/>
        <c:crosses val="max"/>
        <c:crossBetween val="between"/>
      </c:valAx>
      <c:catAx>
        <c:axId val="578203976"/>
        <c:scaling>
          <c:orientation val="minMax"/>
        </c:scaling>
        <c:delete val="1"/>
        <c:axPos val="b"/>
        <c:numFmt formatCode="General" sourceLinked="1"/>
        <c:majorTickMark val="out"/>
        <c:minorTickMark val="none"/>
        <c:tickLblPos val="nextTo"/>
        <c:crossAx val="578203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MGGS</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Fordyce-Voorham</dc:creator>
  <cp:keywords/>
  <dc:description/>
  <cp:lastModifiedBy>Panayiota Matheou</cp:lastModifiedBy>
  <cp:revision>295</cp:revision>
  <cp:lastPrinted>2021-09-06T01:11:00Z</cp:lastPrinted>
  <dcterms:created xsi:type="dcterms:W3CDTF">2021-08-10T09:27:00Z</dcterms:created>
  <dcterms:modified xsi:type="dcterms:W3CDTF">2021-09-10T06:49:00Z</dcterms:modified>
</cp:coreProperties>
</file>